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42119B" w:rsidRDefault="0042119B" w:rsidP="008E201C">
      <w:pPr>
        <w:pStyle w:val="NormalWeb"/>
        <w:shd w:val="clear" w:color="auto" w:fill="FDE9D9" w:themeFill="accent6" w:themeFillTint="33"/>
        <w:spacing w:before="0" w:beforeAutospacing="0" w:after="0" w:afterAutospacing="0"/>
        <w:jc w:val="center"/>
        <w:rPr>
          <w:rFonts w:ascii="Arial" w:hAnsi="Arial" w:cs="Arial"/>
          <w:b/>
          <w:bCs/>
          <w:color w:val="17365D" w:themeColor="text2" w:themeShade="BF"/>
          <w:sz w:val="28"/>
          <w:szCs w:val="28"/>
          <w:u w:val="single"/>
          <w:lang w:eastAsia="en-US"/>
        </w:rPr>
      </w:pPr>
    </w:p>
    <w:p w:rsidR="008E201C" w:rsidRPr="00E576B6" w:rsidRDefault="008E201C" w:rsidP="008E201C">
      <w:pPr>
        <w:pStyle w:val="NormalWeb"/>
        <w:shd w:val="clear" w:color="auto" w:fill="FDE9D9" w:themeFill="accent6" w:themeFillTint="33"/>
        <w:spacing w:before="0" w:beforeAutospacing="0" w:after="0" w:afterAutospacing="0"/>
        <w:jc w:val="center"/>
        <w:rPr>
          <w:rFonts w:ascii="Arial" w:hAnsi="Arial" w:cs="Arial"/>
          <w:b/>
          <w:bCs/>
          <w:color w:val="17365D" w:themeColor="text2" w:themeShade="BF"/>
          <w:sz w:val="28"/>
          <w:szCs w:val="28"/>
          <w:u w:val="single"/>
          <w:lang w:eastAsia="en-US"/>
        </w:rPr>
      </w:pPr>
      <w:r w:rsidRPr="00E576B6">
        <w:rPr>
          <w:rFonts w:ascii="Arial" w:hAnsi="Arial" w:cs="Arial"/>
          <w:b/>
          <w:bCs/>
          <w:color w:val="17365D" w:themeColor="text2" w:themeShade="BF"/>
          <w:sz w:val="28"/>
          <w:szCs w:val="28"/>
          <w:u w:val="single"/>
          <w:lang w:eastAsia="en-US"/>
        </w:rPr>
        <w:t>IMPOSITIVAS</w:t>
      </w:r>
    </w:p>
    <w:p w:rsidR="008E201C" w:rsidRPr="00E576B6" w:rsidRDefault="008E201C" w:rsidP="008E201C">
      <w:pPr>
        <w:pStyle w:val="NormalWeb"/>
        <w:shd w:val="clear" w:color="auto" w:fill="FDE9D9" w:themeFill="accent6" w:themeFillTint="33"/>
        <w:spacing w:before="0" w:beforeAutospacing="0" w:after="0" w:afterAutospacing="0"/>
        <w:jc w:val="both"/>
        <w:rPr>
          <w:rFonts w:ascii="Arial" w:hAnsi="Arial" w:cs="Arial"/>
          <w:b/>
          <w:bCs/>
          <w:color w:val="17365D" w:themeColor="text2" w:themeShade="BF"/>
          <w:sz w:val="20"/>
          <w:szCs w:val="20"/>
          <w:lang w:eastAsia="en-US"/>
        </w:rPr>
      </w:pPr>
    </w:p>
    <w:p w:rsidR="008E201C" w:rsidRDefault="008E201C" w:rsidP="008E201C">
      <w:pPr>
        <w:rPr>
          <w:rFonts w:ascii="Arial" w:eastAsiaTheme="majorEastAsia" w:hAnsi="Arial" w:cs="Arial"/>
          <w:b/>
          <w:bCs/>
          <w:caps/>
          <w:color w:val="002F5D"/>
          <w:sz w:val="22"/>
          <w:szCs w:val="22"/>
        </w:rPr>
      </w:pPr>
    </w:p>
    <w:p w:rsidR="008E201C" w:rsidRDefault="008E201C" w:rsidP="008E201C">
      <w:pPr>
        <w:pStyle w:val="NormalWeb"/>
        <w:spacing w:before="0" w:beforeAutospacing="0" w:after="0" w:afterAutospacing="0"/>
        <w:jc w:val="both"/>
        <w:rPr>
          <w:rFonts w:ascii="Arial" w:eastAsiaTheme="majorEastAsia" w:hAnsi="Arial" w:cs="Arial"/>
          <w:b/>
          <w:bCs/>
          <w:caps/>
          <w:color w:val="002F5D"/>
          <w:sz w:val="22"/>
          <w:szCs w:val="22"/>
        </w:rPr>
      </w:pPr>
      <w:bookmarkStart w:id="0" w:name="OLE_LINK25"/>
      <w:bookmarkStart w:id="1" w:name="OLE_LINK26"/>
      <w:r w:rsidRPr="00FF557A">
        <w:rPr>
          <w:rFonts w:ascii="Arial" w:eastAsiaTheme="majorEastAsia" w:hAnsi="Arial" w:cs="Arial"/>
          <w:b/>
          <w:bCs/>
          <w:caps/>
          <w:color w:val="002F5D"/>
          <w:sz w:val="22"/>
          <w:szCs w:val="22"/>
        </w:rPr>
        <w:t>NACIONaLES</w:t>
      </w:r>
      <w:bookmarkEnd w:id="0"/>
      <w:bookmarkEnd w:id="1"/>
    </w:p>
    <w:p w:rsidR="002514CE" w:rsidRDefault="002514CE" w:rsidP="008E201C">
      <w:pPr>
        <w:pStyle w:val="NormalWeb"/>
        <w:spacing w:before="0" w:beforeAutospacing="0" w:after="0" w:afterAutospacing="0"/>
        <w:jc w:val="both"/>
        <w:rPr>
          <w:rFonts w:ascii="Arial" w:eastAsiaTheme="majorEastAsia" w:hAnsi="Arial" w:cs="Arial"/>
          <w:b/>
          <w:bCs/>
          <w:caps/>
          <w:color w:val="002F5D"/>
          <w:sz w:val="22"/>
          <w:szCs w:val="22"/>
        </w:rPr>
      </w:pPr>
    </w:p>
    <w:p w:rsidR="002514CE" w:rsidRPr="002514CE" w:rsidRDefault="002514CE" w:rsidP="008E201C">
      <w:pPr>
        <w:pStyle w:val="NormalWeb"/>
        <w:spacing w:before="0" w:beforeAutospacing="0" w:after="0" w:afterAutospacing="0"/>
        <w:jc w:val="both"/>
        <w:rPr>
          <w:rFonts w:ascii="Arial" w:hAnsi="Arial" w:cs="Arial"/>
          <w:b/>
          <w:bCs/>
          <w:caps/>
          <w:color w:val="17365D" w:themeColor="text2" w:themeShade="BF"/>
          <w:sz w:val="20"/>
          <w:szCs w:val="20"/>
        </w:rPr>
      </w:pPr>
      <w:r w:rsidRPr="002514CE">
        <w:rPr>
          <w:rFonts w:ascii="Arial" w:hAnsi="Arial" w:cs="Arial"/>
          <w:b/>
          <w:bCs/>
          <w:caps/>
          <w:color w:val="17365D" w:themeColor="text2" w:themeShade="BF"/>
          <w:sz w:val="20"/>
          <w:szCs w:val="20"/>
        </w:rPr>
        <w:t>LEGISLACION</w:t>
      </w:r>
    </w:p>
    <w:p w:rsidR="004B449C" w:rsidRDefault="004B449C" w:rsidP="008E201C">
      <w:pPr>
        <w:pStyle w:val="NormalWeb"/>
        <w:spacing w:before="0" w:beforeAutospacing="0" w:after="0" w:afterAutospacing="0"/>
        <w:jc w:val="both"/>
        <w:rPr>
          <w:rFonts w:ascii="Arial" w:eastAsiaTheme="majorEastAsia" w:hAnsi="Arial" w:cs="Arial"/>
          <w:b/>
          <w:bCs/>
          <w:caps/>
          <w:color w:val="002F5D"/>
          <w:sz w:val="22"/>
          <w:szCs w:val="22"/>
        </w:rPr>
      </w:pPr>
    </w:p>
    <w:p w:rsidR="00E678DD" w:rsidRDefault="00E678DD" w:rsidP="00E678DD">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Impuesto a las Ganancias. Impuesto cedular. Prórroga del régimen de información para las entidades financieras y otros sujetos correspondiente al período 2018 - </w:t>
      </w:r>
      <w:r w:rsidRPr="00E678DD">
        <w:rPr>
          <w:rFonts w:ascii="Arial" w:hAnsi="Arial" w:cs="Arial"/>
          <w:b/>
          <w:bCs/>
          <w:caps/>
          <w:color w:val="376889"/>
          <w:sz w:val="21"/>
          <w:szCs w:val="21"/>
        </w:rPr>
        <w:t>RESOLUCIÓN GENERAL (Adm. Fed. Ingresos Públicos) 4438</w:t>
      </w:r>
    </w:p>
    <w:p w:rsidR="00844AE1" w:rsidRDefault="00844AE1" w:rsidP="00844AE1">
      <w:pPr>
        <w:pStyle w:val="NormalWeb"/>
        <w:spacing w:before="0" w:beforeAutospacing="0" w:after="0" w:afterAutospacing="0"/>
        <w:jc w:val="both"/>
        <w:rPr>
          <w:rFonts w:ascii="Arial" w:hAnsi="Arial" w:cs="Arial"/>
          <w:b/>
          <w:bCs/>
          <w:caps/>
          <w:color w:val="376889"/>
          <w:sz w:val="21"/>
          <w:szCs w:val="21"/>
        </w:rPr>
      </w:pPr>
    </w:p>
    <w:p w:rsidR="00866BC8" w:rsidRPr="002514CE" w:rsidRDefault="00866BC8" w:rsidP="00844AE1">
      <w:pPr>
        <w:pStyle w:val="NormalWeb"/>
        <w:spacing w:before="0" w:beforeAutospacing="0" w:after="0" w:afterAutospacing="0"/>
        <w:jc w:val="both"/>
        <w:rPr>
          <w:rFonts w:ascii="Arial" w:hAnsi="Arial" w:cs="Arial"/>
          <w:b/>
          <w:bCs/>
          <w:caps/>
          <w:color w:val="17365D" w:themeColor="text2" w:themeShade="BF"/>
          <w:sz w:val="21"/>
          <w:szCs w:val="21"/>
        </w:rPr>
      </w:pPr>
    </w:p>
    <w:p w:rsidR="004B449C" w:rsidRPr="00844AE1" w:rsidRDefault="00E678DD" w:rsidP="00844AE1">
      <w:pPr>
        <w:pStyle w:val="NormalWeb"/>
        <w:spacing w:before="0" w:beforeAutospacing="0" w:after="0" w:afterAutospacing="0" w:line="360" w:lineRule="auto"/>
        <w:jc w:val="both"/>
        <w:rPr>
          <w:rFonts w:ascii="Arial" w:eastAsia="Times New Roman" w:hAnsi="Arial" w:cs="Arial"/>
          <w:b/>
          <w:bCs/>
          <w:color w:val="666666"/>
          <w:sz w:val="18"/>
          <w:szCs w:val="18"/>
        </w:rPr>
      </w:pPr>
      <w:r>
        <w:rPr>
          <w:rFonts w:ascii="Arial" w:eastAsia="Times New Roman" w:hAnsi="Arial" w:cs="Arial"/>
          <w:color w:val="666666"/>
          <w:sz w:val="20"/>
          <w:szCs w:val="20"/>
        </w:rPr>
        <w:t>Se prorroga hasta el 1/4/2019 el plazo para que las entidades financieras y otros sujetos cumplan con la obligación de informar a la AFIP y a sus clientes las operaciones realizadas por sus clientes, personas humanas y sucesiones indivisas correspondientes al período 2018, por las que se paguen o pongan a disposición intereses o rendimientos que puedan estar alcanzados por el impuesto cedular a la renta financiera, según lo dispuesto por la resolución general (AFIP) 4394</w:t>
      </w:r>
      <w:r w:rsidR="0072282B" w:rsidRPr="0072282B">
        <w:rPr>
          <w:rFonts w:ascii="Arial" w:eastAsia="Times New Roman" w:hAnsi="Arial" w:cs="Arial"/>
          <w:b/>
          <w:bCs/>
          <w:color w:val="666666"/>
          <w:sz w:val="18"/>
          <w:szCs w:val="18"/>
        </w:rPr>
        <w:t>.</w:t>
      </w:r>
    </w:p>
    <w:p w:rsidR="00DC197E" w:rsidRDefault="00DC197E" w:rsidP="008E201C">
      <w:pPr>
        <w:pStyle w:val="NormalWeb"/>
        <w:spacing w:before="0" w:beforeAutospacing="0" w:after="0" w:afterAutospacing="0"/>
        <w:jc w:val="both"/>
        <w:rPr>
          <w:rFonts w:ascii="Arial" w:eastAsiaTheme="majorEastAsia" w:hAnsi="Arial" w:cs="Arial"/>
          <w:b/>
          <w:bCs/>
          <w:caps/>
          <w:color w:val="002F5D"/>
          <w:sz w:val="22"/>
          <w:szCs w:val="22"/>
        </w:rPr>
      </w:pPr>
    </w:p>
    <w:tbl>
      <w:tblPr>
        <w:tblW w:w="5000" w:type="pct"/>
        <w:tblCellSpacing w:w="37" w:type="dxa"/>
        <w:tblCellMar>
          <w:left w:w="0" w:type="dxa"/>
          <w:right w:w="0" w:type="dxa"/>
        </w:tblCellMar>
        <w:tblLook w:val="04A0"/>
      </w:tblPr>
      <w:tblGrid>
        <w:gridCol w:w="8937"/>
      </w:tblGrid>
      <w:tr w:rsidR="00866BC8" w:rsidRPr="00866BC8" w:rsidTr="00866BC8">
        <w:trPr>
          <w:tblCellSpacing w:w="37" w:type="dxa"/>
        </w:trPr>
        <w:tc>
          <w:tcPr>
            <w:tcW w:w="4917" w:type="pct"/>
            <w:shd w:val="clear" w:color="auto" w:fill="FDE9D9" w:themeFill="accent6" w:themeFillTint="33"/>
            <w:hideMark/>
          </w:tcPr>
          <w:p w:rsidR="00866BC8" w:rsidRPr="00866BC8" w:rsidRDefault="00E678DD" w:rsidP="00866BC8">
            <w:pPr>
              <w:spacing w:line="360" w:lineRule="auto"/>
              <w:jc w:val="both"/>
              <w:rPr>
                <w:rFonts w:ascii="Arial" w:hAnsi="Arial" w:cs="Arial"/>
                <w:b/>
                <w:bCs/>
                <w:caps/>
                <w:color w:val="376889"/>
                <w:sz w:val="21"/>
                <w:szCs w:val="21"/>
              </w:rPr>
            </w:pPr>
            <w:r>
              <w:rPr>
                <w:rFonts w:ascii="Arial" w:hAnsi="Arial" w:cs="Arial"/>
                <w:b/>
                <w:bCs/>
                <w:caps/>
                <w:color w:val="376889"/>
                <w:sz w:val="21"/>
                <w:szCs w:val="21"/>
              </w:rPr>
              <w:t xml:space="preserve">Regímenes Especiales. Deuda pública. Letras del Tesoro en dólares estadounidenses con vencimiento 11/10/2019 - </w:t>
            </w:r>
            <w:r w:rsidRPr="00E678DD">
              <w:rPr>
                <w:rFonts w:ascii="Arial" w:hAnsi="Arial" w:cs="Arial"/>
                <w:b/>
                <w:bCs/>
                <w:caps/>
                <w:color w:val="376889"/>
                <w:sz w:val="21"/>
                <w:szCs w:val="21"/>
              </w:rPr>
              <w:t>RESOLUCIÓN CONJUNTA (Sec. Hacienda - Sec. Finanzas) 23/2019</w:t>
            </w:r>
          </w:p>
        </w:tc>
      </w:tr>
      <w:tr w:rsidR="00D54A9C" w:rsidTr="005F022C">
        <w:trPr>
          <w:tblCellSpacing w:w="37" w:type="dxa"/>
        </w:trPr>
        <w:tc>
          <w:tcPr>
            <w:tcW w:w="4917" w:type="pct"/>
            <w:hideMark/>
          </w:tcPr>
          <w:p w:rsidR="00866BC8" w:rsidRDefault="00866BC8" w:rsidP="00866BC8">
            <w:pPr>
              <w:pStyle w:val="NormalWeb"/>
              <w:spacing w:before="0" w:beforeAutospacing="0" w:after="0" w:afterAutospacing="0"/>
              <w:jc w:val="both"/>
              <w:rPr>
                <w:rFonts w:ascii="Arial" w:hAnsi="Arial" w:cs="Arial"/>
                <w:b/>
                <w:bCs/>
                <w:caps/>
                <w:color w:val="376889"/>
                <w:sz w:val="21"/>
                <w:szCs w:val="21"/>
              </w:rPr>
            </w:pPr>
          </w:p>
          <w:p w:rsidR="00E678DD" w:rsidRDefault="00E678DD" w:rsidP="00866BC8">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Las “Letras del Tesoro en dólares estadounidenses con vencimiento 11/10/2019”, emitidas conforme a la presente disposición, gozan de todas las exenciones impositivas dispuestas por las leyes y reglamentaciones en la materia.</w:t>
            </w:r>
          </w:p>
          <w:p w:rsidR="00D54A9C" w:rsidRDefault="00E678DD" w:rsidP="00866BC8">
            <w:pPr>
              <w:spacing w:line="360" w:lineRule="auto"/>
              <w:jc w:val="both"/>
              <w:rPr>
                <w:rFonts w:ascii="Arial" w:eastAsia="Times New Roman" w:hAnsi="Arial" w:cs="Arial"/>
                <w:b/>
                <w:bCs/>
                <w:color w:val="666666"/>
                <w:sz w:val="18"/>
                <w:szCs w:val="18"/>
              </w:rPr>
            </w:pPr>
            <w:r>
              <w:rPr>
                <w:rFonts w:ascii="Arial" w:eastAsia="Times New Roman" w:hAnsi="Arial" w:cs="Arial"/>
                <w:color w:val="666666"/>
                <w:sz w:val="20"/>
                <w:szCs w:val="20"/>
              </w:rPr>
              <w:t>Recordamos que la ley de reforma tributaria -L. 27430-, al incorporar el artículo 90.1 (impuesto cedular) en la ley del impuesto a las ganancias, grava con dicho impuesto la generación de renta financiera para las personas humanas</w:t>
            </w:r>
            <w:r w:rsidR="00D54A9C" w:rsidRPr="00D54A9C">
              <w:rPr>
                <w:rFonts w:ascii="Arial" w:eastAsia="Times New Roman" w:hAnsi="Arial" w:cs="Arial"/>
                <w:b/>
                <w:bCs/>
                <w:color w:val="666666"/>
                <w:sz w:val="18"/>
                <w:szCs w:val="18"/>
              </w:rPr>
              <w:t>.</w:t>
            </w:r>
          </w:p>
          <w:p w:rsidR="00E678DD" w:rsidRDefault="00E678DD" w:rsidP="00866BC8">
            <w:pPr>
              <w:spacing w:line="360" w:lineRule="auto"/>
              <w:jc w:val="both"/>
              <w:rPr>
                <w:rFonts w:ascii="Arial" w:eastAsia="Times New Roman" w:hAnsi="Arial" w:cs="Arial"/>
                <w:b/>
                <w:bCs/>
                <w:color w:val="666666"/>
                <w:sz w:val="18"/>
                <w:szCs w:val="18"/>
              </w:rPr>
            </w:pPr>
          </w:p>
          <w:p w:rsidR="00E678DD" w:rsidRDefault="00E678DD" w:rsidP="00E678DD">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Valor agregado. Exenciones. Transporte internacional de personas y cargas. Servicios conexos</w:t>
            </w:r>
          </w:p>
          <w:p w:rsidR="00E678DD" w:rsidRDefault="00E678DD" w:rsidP="00E678DD">
            <w:pPr>
              <w:pStyle w:val="NormalWeb"/>
              <w:spacing w:before="0" w:beforeAutospacing="0" w:after="0" w:afterAutospacing="0"/>
              <w:jc w:val="both"/>
              <w:rPr>
                <w:rFonts w:ascii="Arial" w:hAnsi="Arial" w:cs="Arial"/>
                <w:b/>
                <w:bCs/>
                <w:caps/>
                <w:color w:val="376889"/>
                <w:sz w:val="21"/>
                <w:szCs w:val="21"/>
              </w:rPr>
            </w:pPr>
          </w:p>
          <w:p w:rsidR="00E678DD" w:rsidRDefault="00E678DD" w:rsidP="00E678DD">
            <w:pPr>
              <w:pStyle w:val="NormalWeb"/>
              <w:spacing w:before="0" w:beforeAutospacing="0" w:after="0" w:afterAutospacing="0" w:line="360" w:lineRule="auto"/>
              <w:jc w:val="both"/>
              <w:rPr>
                <w:rFonts w:ascii="Arial" w:eastAsia="Times New Roman" w:hAnsi="Arial" w:cs="Arial"/>
                <w:color w:val="666666"/>
                <w:sz w:val="18"/>
                <w:szCs w:val="18"/>
              </w:rPr>
            </w:pPr>
            <w:r>
              <w:rPr>
                <w:rFonts w:ascii="Arial" w:eastAsia="Times New Roman" w:hAnsi="Arial" w:cs="Arial"/>
                <w:color w:val="666666"/>
                <w:sz w:val="20"/>
                <w:szCs w:val="20"/>
              </w:rPr>
              <w:t xml:space="preserve">La Corte considera exentos en el impuesto al valor agregado los servicios conexos al transporte internacional. En el caso sujeto a examen, la tarea relativa al transporte de pasajeros y de carga de Avianca se realizaba por intermedio de la contribuyente, quien lleva a cabo toda la administración y ejecución de su negocio en el país y, por lo tanto, a juicio de la Corte, sus servicios poseían un alto grado de conexidad con el transporte internacional alcanzado por el beneficio. </w:t>
            </w:r>
            <w:r>
              <w:rPr>
                <w:rFonts w:ascii="Arial" w:eastAsia="Times New Roman" w:hAnsi="Arial" w:cs="Arial"/>
                <w:color w:val="666666"/>
                <w:sz w:val="20"/>
                <w:szCs w:val="20"/>
              </w:rPr>
              <w:br/>
            </w:r>
            <w:r w:rsidRPr="00E678DD">
              <w:rPr>
                <w:rFonts w:ascii="Arial" w:eastAsia="Times New Roman" w:hAnsi="Arial" w:cs="Arial"/>
                <w:color w:val="666666"/>
                <w:sz w:val="18"/>
                <w:szCs w:val="18"/>
              </w:rPr>
              <w:lastRenderedPageBreak/>
              <w:t>“</w:t>
            </w:r>
            <w:proofErr w:type="spellStart"/>
            <w:r w:rsidRPr="00E678DD">
              <w:rPr>
                <w:rFonts w:ascii="Arial" w:eastAsia="Times New Roman" w:hAnsi="Arial" w:cs="Arial"/>
                <w:color w:val="666666"/>
                <w:sz w:val="18"/>
                <w:szCs w:val="18"/>
              </w:rPr>
              <w:t>Garman</w:t>
            </w:r>
            <w:proofErr w:type="spellEnd"/>
            <w:r w:rsidRPr="00E678DD">
              <w:rPr>
                <w:rFonts w:ascii="Arial" w:eastAsia="Times New Roman" w:hAnsi="Arial" w:cs="Arial"/>
                <w:color w:val="666666"/>
                <w:sz w:val="18"/>
                <w:szCs w:val="18"/>
              </w:rPr>
              <w:t xml:space="preserve"> Representaciones SA (TF 22.794-I) c/DGI” - Corte </w:t>
            </w:r>
            <w:proofErr w:type="spellStart"/>
            <w:r w:rsidRPr="00E678DD">
              <w:rPr>
                <w:rFonts w:ascii="Arial" w:eastAsia="Times New Roman" w:hAnsi="Arial" w:cs="Arial"/>
                <w:color w:val="666666"/>
                <w:sz w:val="18"/>
                <w:szCs w:val="18"/>
              </w:rPr>
              <w:t>Sup</w:t>
            </w:r>
            <w:proofErr w:type="spellEnd"/>
            <w:r w:rsidRPr="00E678DD">
              <w:rPr>
                <w:rFonts w:ascii="Arial" w:eastAsia="Times New Roman" w:hAnsi="Arial" w:cs="Arial"/>
                <w:color w:val="666666"/>
                <w:sz w:val="18"/>
                <w:szCs w:val="18"/>
              </w:rPr>
              <w:t xml:space="preserve">. </w:t>
            </w:r>
            <w:proofErr w:type="spellStart"/>
            <w:r w:rsidRPr="00E678DD">
              <w:rPr>
                <w:rFonts w:ascii="Arial" w:eastAsia="Times New Roman" w:hAnsi="Arial" w:cs="Arial"/>
                <w:color w:val="666666"/>
                <w:sz w:val="18"/>
                <w:szCs w:val="18"/>
              </w:rPr>
              <w:t>Just</w:t>
            </w:r>
            <w:proofErr w:type="spellEnd"/>
            <w:r w:rsidRPr="00E678DD">
              <w:rPr>
                <w:rFonts w:ascii="Arial" w:eastAsia="Times New Roman" w:hAnsi="Arial" w:cs="Arial"/>
                <w:color w:val="666666"/>
                <w:sz w:val="18"/>
                <w:szCs w:val="18"/>
              </w:rPr>
              <w:t xml:space="preserve">. </w:t>
            </w:r>
            <w:proofErr w:type="spellStart"/>
            <w:r w:rsidRPr="00E678DD">
              <w:rPr>
                <w:rFonts w:ascii="Arial" w:eastAsia="Times New Roman" w:hAnsi="Arial" w:cs="Arial"/>
                <w:color w:val="666666"/>
                <w:sz w:val="18"/>
                <w:szCs w:val="18"/>
              </w:rPr>
              <w:t>Nac</w:t>
            </w:r>
            <w:proofErr w:type="spellEnd"/>
            <w:r w:rsidRPr="00E678DD">
              <w:rPr>
                <w:rFonts w:ascii="Arial" w:eastAsia="Times New Roman" w:hAnsi="Arial" w:cs="Arial"/>
                <w:color w:val="666666"/>
                <w:sz w:val="18"/>
                <w:szCs w:val="18"/>
              </w:rPr>
              <w:t>. - 26/2/2019</w:t>
            </w:r>
          </w:p>
          <w:p w:rsidR="00E678DD" w:rsidRDefault="00E678DD" w:rsidP="00E678DD">
            <w:pPr>
              <w:pStyle w:val="NormalWeb"/>
              <w:spacing w:before="0" w:beforeAutospacing="0" w:after="0" w:afterAutospacing="0" w:line="360" w:lineRule="auto"/>
              <w:jc w:val="both"/>
              <w:rPr>
                <w:rFonts w:ascii="Arial" w:eastAsia="Times New Roman" w:hAnsi="Arial" w:cs="Arial"/>
                <w:color w:val="666666"/>
                <w:sz w:val="18"/>
                <w:szCs w:val="18"/>
              </w:rPr>
            </w:pPr>
          </w:p>
          <w:p w:rsidR="00E678DD" w:rsidRDefault="00E678DD" w:rsidP="00E678DD">
            <w:pPr>
              <w:pStyle w:val="NormalWeb"/>
              <w:spacing w:before="0" w:beforeAutospacing="0" w:after="0" w:afterAutospacing="0" w:line="360" w:lineRule="auto"/>
              <w:jc w:val="both"/>
              <w:rPr>
                <w:rFonts w:ascii="Arial" w:hAnsi="Arial" w:cs="Arial"/>
                <w:b/>
                <w:bCs/>
                <w:caps/>
                <w:color w:val="376889"/>
                <w:sz w:val="21"/>
                <w:szCs w:val="21"/>
              </w:rPr>
            </w:pPr>
            <w:r w:rsidRPr="00E678DD">
              <w:rPr>
                <w:rFonts w:ascii="Arial" w:hAnsi="Arial" w:cs="Arial"/>
                <w:b/>
                <w:bCs/>
                <w:caps/>
                <w:color w:val="376889"/>
                <w:sz w:val="21"/>
                <w:szCs w:val="21"/>
              </w:rPr>
              <w:t>AFIP. Capacidad económico financiera</w:t>
            </w:r>
          </w:p>
          <w:p w:rsidR="00E678DD" w:rsidRDefault="00E678DD" w:rsidP="00E678DD">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Operatividad del módulo “Capacidad Económico Financiera” (CEF)</w:t>
            </w:r>
          </w:p>
          <w:p w:rsidR="00E678DD" w:rsidRDefault="00E678DD" w:rsidP="00E678DD">
            <w:pPr>
              <w:pStyle w:val="NormalWeb"/>
              <w:spacing w:before="0" w:beforeAutospacing="0" w:after="0" w:afterAutospacing="0"/>
              <w:jc w:val="both"/>
              <w:rPr>
                <w:rFonts w:ascii="Arial" w:hAnsi="Arial" w:cs="Arial"/>
                <w:b/>
                <w:bCs/>
                <w:caps/>
                <w:color w:val="376889"/>
                <w:sz w:val="21"/>
                <w:szCs w:val="21"/>
              </w:rPr>
            </w:pPr>
          </w:p>
          <w:p w:rsidR="00E678DD" w:rsidRDefault="00E678DD" w:rsidP="00E678D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La AFIP puso operativo el módulo “Capacidad Económico Financiera” (CEF) dentro del Sistema Registral, en la opción “Trámites”.</w:t>
            </w:r>
          </w:p>
          <w:p w:rsidR="00E678DD" w:rsidRDefault="00E678DD" w:rsidP="00E678D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A través del mismo se podrá conocer la capacidad económico financiera del contribuyente según la valoración realizada por la AFIP y se podrá accionar mediante la solicitud de reconsideración o disconformidad.</w:t>
            </w:r>
            <w:r>
              <w:rPr>
                <w:rFonts w:ascii="Arial" w:eastAsia="Times New Roman" w:hAnsi="Arial" w:cs="Arial"/>
                <w:color w:val="666666"/>
                <w:sz w:val="20"/>
                <w:szCs w:val="20"/>
              </w:rPr>
              <w:br/>
              <w:t>Recordamos que, mediante la resolución general (AFIP) 4294, se aprueba el Sistema de Capacidad Económico Financiera (Sistema CEF) como instrumento para la gestión de riesgos en materia de administración tributaria, impositiva, aduanera y de los recursos de la seguridad social, con el objeto de detectar simulaciones de situaciones fiscales o patrimoniales distintas a las reales, basándose en los datos brindados por el propio contribuyente y/o por terceros con relación a su condición y actividad económica, patrimonial y financiera, calculando mensualmente una valoración de la capacidad económico financiera de cada contribuyente como parámetro representativo de la capacidad para realizar ciertos actos económicos.</w:t>
            </w:r>
          </w:p>
          <w:p w:rsidR="00E678DD" w:rsidRDefault="00E678DD" w:rsidP="00E678DD">
            <w:pPr>
              <w:pStyle w:val="NormalWeb"/>
              <w:spacing w:before="0" w:beforeAutospacing="0" w:after="0" w:afterAutospacing="0" w:line="360" w:lineRule="auto"/>
              <w:jc w:val="both"/>
              <w:rPr>
                <w:rFonts w:ascii="Arial" w:eastAsia="Times New Roman" w:hAnsi="Arial" w:cs="Arial"/>
                <w:color w:val="666666"/>
                <w:sz w:val="20"/>
                <w:szCs w:val="20"/>
              </w:rPr>
            </w:pPr>
          </w:p>
          <w:p w:rsidR="00E678DD" w:rsidRDefault="00E678DD" w:rsidP="00E678DD">
            <w:pPr>
              <w:pStyle w:val="NormalWeb"/>
              <w:spacing w:before="0" w:beforeAutospacing="0" w:after="0" w:afterAutospacing="0"/>
              <w:jc w:val="both"/>
              <w:rPr>
                <w:rFonts w:ascii="Arial" w:hAnsi="Arial" w:cs="Arial"/>
                <w:b/>
                <w:bCs/>
                <w:caps/>
                <w:color w:val="376889"/>
                <w:sz w:val="21"/>
                <w:szCs w:val="21"/>
              </w:rPr>
            </w:pPr>
            <w:r w:rsidRPr="00E678DD">
              <w:rPr>
                <w:rFonts w:ascii="Arial" w:hAnsi="Arial" w:cs="Arial"/>
                <w:b/>
                <w:bCs/>
                <w:caps/>
                <w:color w:val="376889"/>
                <w:sz w:val="21"/>
                <w:szCs w:val="21"/>
              </w:rPr>
              <w:t xml:space="preserve">MONOTRIBUTO. OPERACIONES CON CONSUMIDORES FINALES </w:t>
            </w:r>
          </w:p>
          <w:p w:rsidR="00E678DD" w:rsidRPr="00E678DD" w:rsidRDefault="00E678DD" w:rsidP="00E678DD">
            <w:pPr>
              <w:pStyle w:val="NormalWeb"/>
              <w:spacing w:before="0" w:beforeAutospacing="0" w:after="0" w:afterAutospacing="0"/>
              <w:jc w:val="both"/>
              <w:rPr>
                <w:rFonts w:ascii="Arial" w:hAnsi="Arial" w:cs="Arial"/>
                <w:b/>
                <w:bCs/>
                <w:caps/>
                <w:color w:val="376889"/>
                <w:sz w:val="21"/>
                <w:szCs w:val="21"/>
              </w:rPr>
            </w:pPr>
          </w:p>
          <w:p w:rsidR="00E678DD" w:rsidRPr="00E678DD" w:rsidRDefault="00E678DD" w:rsidP="00E678DD">
            <w:pPr>
              <w:spacing w:after="15" w:line="360" w:lineRule="auto"/>
              <w:jc w:val="both"/>
              <w:rPr>
                <w:rFonts w:ascii="Arial" w:eastAsia="Times New Roman" w:hAnsi="Arial" w:cs="Arial"/>
                <w:color w:val="666666"/>
                <w:sz w:val="20"/>
                <w:szCs w:val="20"/>
              </w:rPr>
            </w:pPr>
            <w:r w:rsidRPr="00E678DD">
              <w:rPr>
                <w:rFonts w:ascii="Arial" w:eastAsia="Times New Roman" w:hAnsi="Arial" w:cs="Arial"/>
                <w:color w:val="666666"/>
                <w:sz w:val="20"/>
                <w:szCs w:val="20"/>
              </w:rPr>
              <w:t xml:space="preserve">Recordamos que, conforme lo establece la resolución general (AFIP) 4290 (BO: 3/8/2018), a partir del 1/4/2019 los monotributistas tienen la obligación de emitir factura electrónica o utilizar controladores fiscales por las operaciones que realicen con consumidores finales. </w:t>
            </w:r>
          </w:p>
          <w:p w:rsidR="00053748" w:rsidRDefault="00053748" w:rsidP="00053748">
            <w:pPr>
              <w:pStyle w:val="Ttulo1"/>
            </w:pPr>
            <w:r>
              <w:t xml:space="preserve">MUNICIPALIDAD DE ROSARIO </w:t>
            </w:r>
          </w:p>
          <w:p w:rsidR="00053748" w:rsidRPr="00053748" w:rsidRDefault="00053748" w:rsidP="00053748">
            <w:pPr>
              <w:pStyle w:val="bajada-news"/>
              <w:jc w:val="both"/>
              <w:rPr>
                <w:rFonts w:ascii="Arial" w:eastAsiaTheme="minorHAnsi" w:hAnsi="Arial" w:cs="Arial"/>
                <w:b/>
                <w:bCs/>
                <w:caps/>
                <w:color w:val="376889"/>
                <w:sz w:val="21"/>
                <w:szCs w:val="21"/>
              </w:rPr>
            </w:pPr>
            <w:r w:rsidRPr="00053748">
              <w:rPr>
                <w:rFonts w:ascii="Arial" w:eastAsiaTheme="minorHAnsi" w:hAnsi="Arial" w:cs="Arial"/>
                <w:b/>
                <w:bCs/>
                <w:caps/>
                <w:color w:val="376889"/>
                <w:sz w:val="21"/>
                <w:szCs w:val="21"/>
              </w:rPr>
              <w:t xml:space="preserve">Presentación fuera de término de la DJ DReI. Multa por incumplimiento - Nuevos valores y reducciones </w:t>
            </w:r>
          </w:p>
          <w:p w:rsidR="00053748" w:rsidRPr="00053748" w:rsidRDefault="00053748" w:rsidP="00053748">
            <w:pPr>
              <w:pStyle w:val="NormalWeb"/>
              <w:spacing w:line="360" w:lineRule="auto"/>
              <w:jc w:val="both"/>
              <w:rPr>
                <w:rFonts w:ascii="Arial" w:eastAsia="Times New Roman" w:hAnsi="Arial" w:cs="Arial"/>
                <w:color w:val="666666"/>
                <w:sz w:val="20"/>
                <w:szCs w:val="20"/>
              </w:rPr>
            </w:pPr>
            <w:r w:rsidRPr="00053748">
              <w:rPr>
                <w:rFonts w:ascii="Arial" w:eastAsia="Times New Roman" w:hAnsi="Arial" w:cs="Arial"/>
                <w:color w:val="666666"/>
                <w:sz w:val="20"/>
                <w:szCs w:val="20"/>
              </w:rPr>
              <w:t xml:space="preserve">A partir del período fiscal 1/2019 rigen los nuevos montos y beneficios previstos en el Art. 40º del Código Tributario de la Municipalidad de Rosario donde se establece que </w:t>
            </w:r>
            <w:r w:rsidRPr="00053748">
              <w:rPr>
                <w:rFonts w:ascii="Arial" w:eastAsia="Times New Roman" w:hAnsi="Arial" w:cs="Arial"/>
                <w:b/>
                <w:bCs/>
                <w:color w:val="666666"/>
                <w:sz w:val="20"/>
                <w:szCs w:val="20"/>
              </w:rPr>
              <w:t xml:space="preserve">la omisión de presentar la DJ en tiempo y forma será sancionada con una multa equivalente a </w:t>
            </w:r>
            <w:r w:rsidRPr="00053748">
              <w:rPr>
                <w:rFonts w:ascii="Arial" w:eastAsia="Times New Roman" w:hAnsi="Arial" w:cs="Arial"/>
                <w:color w:val="666666"/>
                <w:sz w:val="20"/>
                <w:szCs w:val="20"/>
              </w:rPr>
              <w:t xml:space="preserve">dos veces el valor establecido en el artículo 10 inc. a) de la Ordenanza General Impositiva ($760) </w:t>
            </w:r>
          </w:p>
          <w:p w:rsidR="00053748" w:rsidRPr="00053748" w:rsidRDefault="00053748" w:rsidP="00053748">
            <w:pPr>
              <w:pStyle w:val="NormalWeb"/>
              <w:spacing w:line="360" w:lineRule="auto"/>
              <w:jc w:val="both"/>
              <w:rPr>
                <w:rFonts w:ascii="Arial" w:eastAsia="Times New Roman" w:hAnsi="Arial" w:cs="Arial"/>
                <w:color w:val="666666"/>
                <w:sz w:val="20"/>
                <w:szCs w:val="20"/>
              </w:rPr>
            </w:pPr>
            <w:r w:rsidRPr="00053748">
              <w:rPr>
                <w:rFonts w:ascii="Arial" w:eastAsia="Times New Roman" w:hAnsi="Arial" w:cs="Arial"/>
                <w:color w:val="666666"/>
                <w:sz w:val="20"/>
                <w:szCs w:val="20"/>
              </w:rPr>
              <w:t xml:space="preserve">El contribuyente podrá abonar la multa con una reducción del: </w:t>
            </w:r>
          </w:p>
          <w:p w:rsidR="00053748" w:rsidRPr="00053748" w:rsidRDefault="00053748" w:rsidP="00053748">
            <w:pPr>
              <w:numPr>
                <w:ilvl w:val="0"/>
                <w:numId w:val="20"/>
              </w:numPr>
              <w:spacing w:before="100" w:beforeAutospacing="1" w:after="100" w:afterAutospacing="1" w:line="360" w:lineRule="auto"/>
              <w:jc w:val="both"/>
              <w:rPr>
                <w:rFonts w:ascii="Arial" w:eastAsia="Times New Roman" w:hAnsi="Arial" w:cs="Arial"/>
                <w:color w:val="666666"/>
                <w:sz w:val="20"/>
                <w:szCs w:val="20"/>
              </w:rPr>
            </w:pPr>
            <w:r w:rsidRPr="00053748">
              <w:rPr>
                <w:rFonts w:ascii="Arial" w:eastAsia="Times New Roman" w:hAnsi="Arial" w:cs="Arial"/>
                <w:b/>
                <w:bCs/>
                <w:color w:val="666666"/>
                <w:sz w:val="20"/>
                <w:szCs w:val="20"/>
              </w:rPr>
              <w:t>75%, es decir $190,</w:t>
            </w:r>
            <w:r w:rsidRPr="00053748">
              <w:rPr>
                <w:rFonts w:ascii="Arial" w:eastAsia="Times New Roman" w:hAnsi="Arial" w:cs="Arial"/>
                <w:color w:val="666666"/>
                <w:sz w:val="20"/>
                <w:szCs w:val="20"/>
              </w:rPr>
              <w:t xml:space="preserve"> si la cancela dentro de los </w:t>
            </w:r>
            <w:r w:rsidRPr="00053748">
              <w:rPr>
                <w:rFonts w:ascii="Arial" w:eastAsia="Times New Roman" w:hAnsi="Arial" w:cs="Arial"/>
                <w:b/>
                <w:bCs/>
                <w:color w:val="666666"/>
                <w:sz w:val="20"/>
                <w:szCs w:val="20"/>
              </w:rPr>
              <w:t>90 días corridos</w:t>
            </w:r>
            <w:r w:rsidRPr="00053748">
              <w:rPr>
                <w:rFonts w:ascii="Arial" w:eastAsia="Times New Roman" w:hAnsi="Arial" w:cs="Arial"/>
                <w:color w:val="666666"/>
                <w:sz w:val="20"/>
                <w:szCs w:val="20"/>
              </w:rPr>
              <w:t xml:space="preserve"> contados desde el </w:t>
            </w:r>
            <w:r w:rsidRPr="00053748">
              <w:rPr>
                <w:rFonts w:ascii="Arial" w:eastAsia="Times New Roman" w:hAnsi="Arial" w:cs="Arial"/>
                <w:color w:val="666666"/>
                <w:sz w:val="20"/>
                <w:szCs w:val="20"/>
              </w:rPr>
              <w:lastRenderedPageBreak/>
              <w:t>vencimiento del período</w:t>
            </w:r>
          </w:p>
          <w:p w:rsidR="00053748" w:rsidRPr="00053748" w:rsidRDefault="00053748" w:rsidP="00053748">
            <w:pPr>
              <w:numPr>
                <w:ilvl w:val="0"/>
                <w:numId w:val="20"/>
              </w:numPr>
              <w:spacing w:before="100" w:beforeAutospacing="1" w:after="100" w:afterAutospacing="1" w:line="360" w:lineRule="auto"/>
              <w:jc w:val="both"/>
              <w:rPr>
                <w:rFonts w:ascii="Arial" w:eastAsia="Times New Roman" w:hAnsi="Arial" w:cs="Arial"/>
                <w:color w:val="666666"/>
                <w:sz w:val="20"/>
                <w:szCs w:val="20"/>
              </w:rPr>
            </w:pPr>
            <w:r w:rsidRPr="00053748">
              <w:rPr>
                <w:rFonts w:ascii="Arial" w:eastAsia="Times New Roman" w:hAnsi="Arial" w:cs="Arial"/>
                <w:b/>
                <w:bCs/>
                <w:color w:val="666666"/>
                <w:sz w:val="20"/>
                <w:szCs w:val="20"/>
              </w:rPr>
              <w:t xml:space="preserve">50%, es decir $380, </w:t>
            </w:r>
            <w:r w:rsidRPr="00053748">
              <w:rPr>
                <w:rFonts w:ascii="Arial" w:eastAsia="Times New Roman" w:hAnsi="Arial" w:cs="Arial"/>
                <w:color w:val="666666"/>
                <w:sz w:val="20"/>
                <w:szCs w:val="20"/>
              </w:rPr>
              <w:t xml:space="preserve">si la cancela dentro de los </w:t>
            </w:r>
            <w:r w:rsidRPr="00053748">
              <w:rPr>
                <w:rFonts w:ascii="Arial" w:eastAsia="Times New Roman" w:hAnsi="Arial" w:cs="Arial"/>
                <w:b/>
                <w:bCs/>
                <w:color w:val="666666"/>
                <w:sz w:val="20"/>
                <w:szCs w:val="20"/>
              </w:rPr>
              <w:t>180 días corridos</w:t>
            </w:r>
            <w:r w:rsidRPr="00053748">
              <w:rPr>
                <w:rFonts w:ascii="Arial" w:eastAsia="Times New Roman" w:hAnsi="Arial" w:cs="Arial"/>
                <w:color w:val="666666"/>
                <w:sz w:val="20"/>
                <w:szCs w:val="20"/>
              </w:rPr>
              <w:t xml:space="preserve"> contados desde el vencimiento del período</w:t>
            </w:r>
          </w:p>
          <w:p w:rsidR="00053748" w:rsidRPr="00053748" w:rsidRDefault="00053748" w:rsidP="00053748">
            <w:pPr>
              <w:pStyle w:val="has-text-color"/>
              <w:spacing w:line="360" w:lineRule="auto"/>
              <w:jc w:val="both"/>
              <w:rPr>
                <w:rFonts w:ascii="Arial" w:hAnsi="Arial" w:cs="Arial"/>
                <w:color w:val="666666"/>
                <w:sz w:val="20"/>
                <w:szCs w:val="20"/>
              </w:rPr>
            </w:pPr>
            <w:proofErr w:type="gramStart"/>
            <w:r w:rsidRPr="00053748">
              <w:rPr>
                <w:rFonts w:ascii="Arial" w:hAnsi="Arial" w:cs="Arial"/>
                <w:b/>
                <w:bCs/>
                <w:color w:val="666666"/>
                <w:sz w:val="20"/>
                <w:szCs w:val="20"/>
              </w:rPr>
              <w:t>Éstos</w:t>
            </w:r>
            <w:proofErr w:type="gramEnd"/>
            <w:r w:rsidRPr="00053748">
              <w:rPr>
                <w:rFonts w:ascii="Arial" w:hAnsi="Arial" w:cs="Arial"/>
                <w:b/>
                <w:bCs/>
                <w:color w:val="666666"/>
                <w:sz w:val="20"/>
                <w:szCs w:val="20"/>
              </w:rPr>
              <w:t xml:space="preserve"> beneficios rigen únicamente si el contribuyente presentó la DJ.</w:t>
            </w:r>
            <w:r w:rsidRPr="00053748">
              <w:rPr>
                <w:rFonts w:ascii="Arial" w:hAnsi="Arial" w:cs="Arial"/>
                <w:color w:val="666666"/>
                <w:sz w:val="20"/>
                <w:szCs w:val="20"/>
              </w:rPr>
              <w:t xml:space="preserve"> </w:t>
            </w:r>
          </w:p>
          <w:p w:rsidR="00053748" w:rsidRPr="00053748" w:rsidRDefault="00053748" w:rsidP="00053748">
            <w:pPr>
              <w:pStyle w:val="NormalWeb"/>
              <w:spacing w:line="360" w:lineRule="auto"/>
              <w:jc w:val="both"/>
              <w:rPr>
                <w:rFonts w:ascii="Arial" w:eastAsia="Times New Roman" w:hAnsi="Arial" w:cs="Arial"/>
                <w:color w:val="666666"/>
                <w:sz w:val="20"/>
                <w:szCs w:val="20"/>
              </w:rPr>
            </w:pPr>
            <w:r w:rsidRPr="00053748">
              <w:rPr>
                <w:rFonts w:ascii="Arial" w:eastAsia="Times New Roman" w:hAnsi="Arial" w:cs="Arial"/>
                <w:color w:val="666666"/>
                <w:sz w:val="20"/>
                <w:szCs w:val="20"/>
              </w:rPr>
              <w:t xml:space="preserve">No tendrá beneficios y deberá abonar el valor de $760 si: </w:t>
            </w:r>
          </w:p>
          <w:p w:rsidR="00053748" w:rsidRPr="00053748" w:rsidRDefault="00053748" w:rsidP="00053748">
            <w:pPr>
              <w:numPr>
                <w:ilvl w:val="0"/>
                <w:numId w:val="21"/>
              </w:numPr>
              <w:spacing w:before="100" w:beforeAutospacing="1" w:after="100" w:afterAutospacing="1" w:line="360" w:lineRule="auto"/>
              <w:jc w:val="both"/>
              <w:rPr>
                <w:rFonts w:ascii="Arial" w:eastAsia="Times New Roman" w:hAnsi="Arial" w:cs="Arial"/>
                <w:color w:val="666666"/>
                <w:sz w:val="20"/>
                <w:szCs w:val="20"/>
              </w:rPr>
            </w:pPr>
            <w:r w:rsidRPr="00053748">
              <w:rPr>
                <w:rFonts w:ascii="Arial" w:eastAsia="Times New Roman" w:hAnsi="Arial" w:cs="Arial"/>
                <w:color w:val="666666"/>
                <w:sz w:val="20"/>
                <w:szCs w:val="20"/>
              </w:rPr>
              <w:t>Pasaron los 180 días contados desde el vencimiento del periodo</w:t>
            </w:r>
          </w:p>
          <w:p w:rsidR="00053748" w:rsidRPr="00053748" w:rsidRDefault="00053748" w:rsidP="00053748">
            <w:pPr>
              <w:numPr>
                <w:ilvl w:val="0"/>
                <w:numId w:val="21"/>
              </w:numPr>
              <w:spacing w:before="100" w:beforeAutospacing="1" w:after="100" w:afterAutospacing="1" w:line="360" w:lineRule="auto"/>
              <w:jc w:val="both"/>
              <w:rPr>
                <w:rFonts w:ascii="Arial" w:eastAsia="Times New Roman" w:hAnsi="Arial" w:cs="Arial"/>
                <w:color w:val="666666"/>
                <w:sz w:val="20"/>
                <w:szCs w:val="20"/>
              </w:rPr>
            </w:pPr>
            <w:r w:rsidRPr="00053748">
              <w:rPr>
                <w:rFonts w:ascii="Arial" w:eastAsia="Times New Roman" w:hAnsi="Arial" w:cs="Arial"/>
                <w:color w:val="666666"/>
                <w:sz w:val="20"/>
                <w:szCs w:val="20"/>
              </w:rPr>
              <w:t>No presenta su DJ</w:t>
            </w:r>
          </w:p>
          <w:p w:rsidR="00053748" w:rsidRPr="00053748" w:rsidRDefault="00053748" w:rsidP="00053748">
            <w:pPr>
              <w:numPr>
                <w:ilvl w:val="0"/>
                <w:numId w:val="21"/>
              </w:numPr>
              <w:spacing w:before="100" w:beforeAutospacing="1" w:after="100" w:afterAutospacing="1" w:line="360" w:lineRule="auto"/>
              <w:jc w:val="both"/>
              <w:rPr>
                <w:rFonts w:ascii="Arial" w:eastAsia="Times New Roman" w:hAnsi="Arial" w:cs="Arial"/>
                <w:color w:val="666666"/>
                <w:sz w:val="20"/>
                <w:szCs w:val="20"/>
              </w:rPr>
            </w:pPr>
            <w:r w:rsidRPr="00053748">
              <w:rPr>
                <w:rFonts w:ascii="Arial" w:eastAsia="Times New Roman" w:hAnsi="Arial" w:cs="Arial"/>
                <w:color w:val="666666"/>
                <w:sz w:val="20"/>
                <w:szCs w:val="20"/>
              </w:rPr>
              <w:t>Incluye las multas en un convenio de pago en cuotas</w:t>
            </w:r>
          </w:p>
          <w:p w:rsidR="00053748" w:rsidRPr="00053748" w:rsidRDefault="00053748" w:rsidP="00053748">
            <w:pPr>
              <w:numPr>
                <w:ilvl w:val="0"/>
                <w:numId w:val="21"/>
              </w:numPr>
              <w:spacing w:before="100" w:beforeAutospacing="1" w:after="100" w:afterAutospacing="1" w:line="360" w:lineRule="auto"/>
              <w:jc w:val="both"/>
              <w:rPr>
                <w:rFonts w:ascii="Arial" w:eastAsia="Times New Roman" w:hAnsi="Arial" w:cs="Arial"/>
                <w:color w:val="666666"/>
                <w:sz w:val="20"/>
                <w:szCs w:val="20"/>
              </w:rPr>
            </w:pPr>
            <w:r w:rsidRPr="00053748">
              <w:rPr>
                <w:rFonts w:ascii="Arial" w:eastAsia="Times New Roman" w:hAnsi="Arial" w:cs="Arial"/>
                <w:color w:val="666666"/>
                <w:sz w:val="20"/>
                <w:szCs w:val="20"/>
              </w:rPr>
              <w:t>Las multas fueron reconocidas en un convenio que caducó por falta de pago</w:t>
            </w:r>
          </w:p>
          <w:p w:rsidR="00053748" w:rsidRPr="00053748" w:rsidRDefault="00053748" w:rsidP="00053748">
            <w:pPr>
              <w:pStyle w:val="has-medium-font-size"/>
              <w:spacing w:line="360" w:lineRule="auto"/>
              <w:jc w:val="both"/>
              <w:rPr>
                <w:rFonts w:ascii="Arial" w:hAnsi="Arial" w:cs="Arial"/>
                <w:color w:val="666666"/>
                <w:sz w:val="20"/>
                <w:szCs w:val="20"/>
              </w:rPr>
            </w:pPr>
            <w:r w:rsidRPr="00053748">
              <w:rPr>
                <w:rFonts w:ascii="Arial" w:hAnsi="Arial" w:cs="Arial"/>
                <w:i/>
                <w:iCs/>
                <w:color w:val="666666"/>
                <w:sz w:val="20"/>
                <w:szCs w:val="20"/>
              </w:rPr>
              <w:t>Instructivo:</w:t>
            </w:r>
          </w:p>
          <w:p w:rsidR="00053748" w:rsidRPr="00053748" w:rsidRDefault="00053748" w:rsidP="00053748">
            <w:pPr>
              <w:pStyle w:val="NormalWeb"/>
              <w:spacing w:line="360" w:lineRule="auto"/>
              <w:jc w:val="both"/>
              <w:rPr>
                <w:rFonts w:ascii="Arial" w:eastAsia="Times New Roman" w:hAnsi="Arial" w:cs="Arial"/>
                <w:color w:val="666666"/>
                <w:sz w:val="20"/>
                <w:szCs w:val="20"/>
              </w:rPr>
            </w:pPr>
            <w:r w:rsidRPr="00053748">
              <w:rPr>
                <w:rFonts w:ascii="Arial" w:eastAsia="Times New Roman" w:hAnsi="Arial" w:cs="Arial"/>
                <w:color w:val="666666"/>
                <w:sz w:val="20"/>
                <w:szCs w:val="20"/>
              </w:rPr>
              <w:t>Se podrán abonar tales multas ingresando al estado de cuenta DReI mediante el servicio</w:t>
            </w:r>
            <w:r w:rsidRPr="00053748">
              <w:rPr>
                <w:rFonts w:ascii="Arial" w:eastAsia="Times New Roman" w:hAnsi="Arial" w:cs="Arial"/>
                <w:b/>
                <w:bCs/>
                <w:color w:val="666666"/>
                <w:sz w:val="20"/>
                <w:szCs w:val="20"/>
              </w:rPr>
              <w:t xml:space="preserve"> “Municipalidad de Rosario-Trámites Tributarios”</w:t>
            </w:r>
            <w:r w:rsidRPr="00053748">
              <w:rPr>
                <w:rFonts w:ascii="Arial" w:eastAsia="Times New Roman" w:hAnsi="Arial" w:cs="Arial"/>
                <w:color w:val="666666"/>
                <w:sz w:val="20"/>
                <w:szCs w:val="20"/>
              </w:rPr>
              <w:t xml:space="preserve"> al que se accede con CUIT y clave fiscal desde la web de AFIP. Una vez allí, debe tildar todas las multas que visualiza y hacer </w:t>
            </w:r>
            <w:proofErr w:type="spellStart"/>
            <w:r w:rsidRPr="00053748">
              <w:rPr>
                <w:rFonts w:ascii="Arial" w:eastAsia="Times New Roman" w:hAnsi="Arial" w:cs="Arial"/>
                <w:color w:val="666666"/>
                <w:sz w:val="20"/>
                <w:szCs w:val="20"/>
              </w:rPr>
              <w:t>click</w:t>
            </w:r>
            <w:proofErr w:type="spellEnd"/>
            <w:r w:rsidRPr="00053748">
              <w:rPr>
                <w:rFonts w:ascii="Arial" w:eastAsia="Times New Roman" w:hAnsi="Arial" w:cs="Arial"/>
                <w:color w:val="666666"/>
                <w:sz w:val="20"/>
                <w:szCs w:val="20"/>
              </w:rPr>
              <w:t xml:space="preserve"> en el botón </w:t>
            </w:r>
            <w:r w:rsidRPr="00053748">
              <w:rPr>
                <w:rFonts w:ascii="Arial" w:eastAsia="Times New Roman" w:hAnsi="Arial" w:cs="Arial"/>
                <w:b/>
                <w:bCs/>
                <w:color w:val="666666"/>
                <w:sz w:val="20"/>
                <w:szCs w:val="20"/>
              </w:rPr>
              <w:t>“Generar VEP”</w:t>
            </w:r>
            <w:r w:rsidRPr="00053748">
              <w:rPr>
                <w:rFonts w:ascii="Arial" w:eastAsia="Times New Roman" w:hAnsi="Arial" w:cs="Arial"/>
                <w:color w:val="666666"/>
                <w:sz w:val="20"/>
                <w:szCs w:val="20"/>
              </w:rPr>
              <w:t xml:space="preserve"> para generar un volante electrónico de pago o en </w:t>
            </w:r>
            <w:r w:rsidRPr="00053748">
              <w:rPr>
                <w:rFonts w:ascii="Arial" w:eastAsia="Times New Roman" w:hAnsi="Arial" w:cs="Arial"/>
                <w:b/>
                <w:bCs/>
                <w:color w:val="666666"/>
                <w:sz w:val="20"/>
                <w:szCs w:val="20"/>
              </w:rPr>
              <w:t>“Reimpresión”</w:t>
            </w:r>
            <w:r w:rsidRPr="00053748">
              <w:rPr>
                <w:rFonts w:ascii="Arial" w:eastAsia="Times New Roman" w:hAnsi="Arial" w:cs="Arial"/>
                <w:color w:val="666666"/>
                <w:sz w:val="20"/>
                <w:szCs w:val="20"/>
              </w:rPr>
              <w:t xml:space="preserve"> para su pago en efectivo.</w:t>
            </w:r>
          </w:p>
          <w:p w:rsidR="00053748" w:rsidRPr="00053748" w:rsidRDefault="00053748" w:rsidP="00053748">
            <w:pPr>
              <w:pStyle w:val="has-text-color"/>
              <w:spacing w:line="360" w:lineRule="auto"/>
              <w:jc w:val="both"/>
              <w:rPr>
                <w:rFonts w:ascii="Arial" w:hAnsi="Arial" w:cs="Arial"/>
                <w:color w:val="666666"/>
                <w:sz w:val="20"/>
                <w:szCs w:val="20"/>
              </w:rPr>
            </w:pPr>
            <w:r w:rsidRPr="00053748">
              <w:rPr>
                <w:rFonts w:ascii="Arial" w:hAnsi="Arial" w:cs="Arial"/>
                <w:i/>
                <w:iCs/>
                <w:color w:val="666666"/>
                <w:sz w:val="20"/>
                <w:szCs w:val="20"/>
              </w:rPr>
              <w:t>Aclaraciones</w:t>
            </w:r>
            <w:r w:rsidRPr="00053748">
              <w:rPr>
                <w:rFonts w:ascii="Arial" w:hAnsi="Arial" w:cs="Arial"/>
                <w:color w:val="666666"/>
                <w:sz w:val="20"/>
                <w:szCs w:val="20"/>
              </w:rPr>
              <w:t>:</w:t>
            </w:r>
          </w:p>
          <w:p w:rsidR="00053748" w:rsidRPr="00053748" w:rsidRDefault="00053748" w:rsidP="00053748">
            <w:pPr>
              <w:pStyle w:val="has-text-color"/>
              <w:spacing w:line="360" w:lineRule="auto"/>
              <w:jc w:val="both"/>
              <w:rPr>
                <w:rFonts w:ascii="Arial" w:hAnsi="Arial" w:cs="Arial"/>
                <w:color w:val="666666"/>
                <w:sz w:val="20"/>
                <w:szCs w:val="20"/>
              </w:rPr>
            </w:pPr>
            <w:r w:rsidRPr="00053748">
              <w:rPr>
                <w:rFonts w:ascii="Arial" w:hAnsi="Arial" w:cs="Arial"/>
                <w:color w:val="666666"/>
                <w:sz w:val="20"/>
                <w:szCs w:val="20"/>
              </w:rPr>
              <w:t xml:space="preserve">► Para las multas por presentación fuera de </w:t>
            </w:r>
            <w:proofErr w:type="gramStart"/>
            <w:r w:rsidRPr="00053748">
              <w:rPr>
                <w:rFonts w:ascii="Arial" w:hAnsi="Arial" w:cs="Arial"/>
                <w:color w:val="666666"/>
                <w:sz w:val="20"/>
                <w:szCs w:val="20"/>
              </w:rPr>
              <w:t>termino</w:t>
            </w:r>
            <w:proofErr w:type="gramEnd"/>
            <w:r w:rsidRPr="00053748">
              <w:rPr>
                <w:rFonts w:ascii="Arial" w:hAnsi="Arial" w:cs="Arial"/>
                <w:color w:val="666666"/>
                <w:sz w:val="20"/>
                <w:szCs w:val="20"/>
              </w:rPr>
              <w:t xml:space="preserve"> de la DJ por períodos fiscales anteriores al 1/2019 se respetará las reducciones y montos que se encontraban vigentes hasta esa fecha. </w:t>
            </w:r>
            <w:r w:rsidRPr="00053748">
              <w:rPr>
                <w:rFonts w:ascii="Arial" w:hAnsi="Arial" w:cs="Arial"/>
                <w:color w:val="666666"/>
                <w:sz w:val="20"/>
                <w:szCs w:val="20"/>
              </w:rPr>
              <w:br/>
              <w:t>►  Conforme a lo dispuesto por </w:t>
            </w:r>
            <w:hyperlink r:id="rId8" w:tgtFrame="_blank" w:history="1">
              <w:r w:rsidRPr="00053748">
                <w:rPr>
                  <w:rFonts w:ascii="Arial" w:hAnsi="Arial" w:cs="Arial"/>
                  <w:b/>
                  <w:bCs/>
                  <w:color w:val="666666"/>
                  <w:sz w:val="20"/>
                  <w:szCs w:val="20"/>
                </w:rPr>
                <w:t>Resolución 270/2018</w:t>
              </w:r>
            </w:hyperlink>
            <w:r w:rsidRPr="00053748">
              <w:rPr>
                <w:rFonts w:ascii="Arial" w:hAnsi="Arial" w:cs="Arial"/>
                <w:color w:val="666666"/>
                <w:sz w:val="20"/>
                <w:szCs w:val="20"/>
              </w:rPr>
              <w:t> se considera presentadas en término las Declaraciones Juradas correspondientes al período </w:t>
            </w:r>
            <w:r w:rsidRPr="00053748">
              <w:rPr>
                <w:rFonts w:ascii="Arial" w:hAnsi="Arial" w:cs="Arial"/>
                <w:b/>
                <w:bCs/>
                <w:color w:val="666666"/>
                <w:sz w:val="20"/>
                <w:szCs w:val="20"/>
              </w:rPr>
              <w:t>enero 2019</w:t>
            </w:r>
            <w:r w:rsidRPr="00053748">
              <w:rPr>
                <w:rFonts w:ascii="Arial" w:hAnsi="Arial" w:cs="Arial"/>
                <w:color w:val="666666"/>
                <w:sz w:val="20"/>
                <w:szCs w:val="20"/>
              </w:rPr>
              <w:t> que fueron efectuadas hasta el día </w:t>
            </w:r>
            <w:r w:rsidRPr="00053748">
              <w:rPr>
                <w:rFonts w:ascii="Arial" w:hAnsi="Arial" w:cs="Arial"/>
                <w:b/>
                <w:bCs/>
                <w:color w:val="666666"/>
                <w:sz w:val="20"/>
                <w:szCs w:val="20"/>
              </w:rPr>
              <w:t>28 de Febrero de 2019 inclusive</w:t>
            </w:r>
            <w:r w:rsidRPr="00053748">
              <w:rPr>
                <w:rFonts w:ascii="Arial" w:hAnsi="Arial" w:cs="Arial"/>
                <w:color w:val="666666"/>
                <w:sz w:val="20"/>
                <w:szCs w:val="20"/>
              </w:rPr>
              <w:t>.</w:t>
            </w:r>
          </w:p>
          <w:p w:rsidR="00E678DD" w:rsidRPr="00E678DD" w:rsidRDefault="00E678DD" w:rsidP="00E678DD">
            <w:pPr>
              <w:pStyle w:val="NormalWeb"/>
              <w:spacing w:before="0" w:beforeAutospacing="0" w:after="0" w:afterAutospacing="0" w:line="360" w:lineRule="auto"/>
              <w:jc w:val="both"/>
              <w:rPr>
                <w:rFonts w:ascii="Arial" w:hAnsi="Arial" w:cs="Arial"/>
                <w:b/>
                <w:bCs/>
                <w:caps/>
                <w:color w:val="376889"/>
                <w:sz w:val="21"/>
                <w:szCs w:val="21"/>
              </w:rPr>
            </w:pPr>
          </w:p>
          <w:p w:rsidR="005F022C" w:rsidRPr="00D54A9C" w:rsidRDefault="005F022C" w:rsidP="005F022C">
            <w:pPr>
              <w:spacing w:line="360" w:lineRule="auto"/>
              <w:jc w:val="both"/>
              <w:rPr>
                <w:rFonts w:ascii="Arial" w:eastAsia="Times New Roman" w:hAnsi="Arial" w:cs="Arial"/>
                <w:b/>
                <w:bCs/>
                <w:color w:val="666666"/>
                <w:sz w:val="18"/>
                <w:szCs w:val="18"/>
              </w:rPr>
            </w:pPr>
          </w:p>
        </w:tc>
      </w:tr>
    </w:tbl>
    <w:p w:rsidR="00AC7C2C" w:rsidRPr="005F022C" w:rsidRDefault="005F022C" w:rsidP="005F022C">
      <w:pPr>
        <w:pStyle w:val="NormalWeb"/>
        <w:spacing w:before="0" w:beforeAutospacing="0" w:after="0" w:afterAutospacing="0"/>
        <w:jc w:val="center"/>
        <w:rPr>
          <w:rFonts w:ascii="Arial" w:hAnsi="Arial" w:cs="Arial"/>
          <w:b/>
          <w:bCs/>
          <w:caps/>
          <w:color w:val="7E4F6F"/>
        </w:rPr>
      </w:pPr>
      <w:r w:rsidRPr="005F022C">
        <w:rPr>
          <w:rFonts w:ascii="Arial" w:hAnsi="Arial" w:cs="Arial"/>
          <w:b/>
          <w:bCs/>
          <w:caps/>
          <w:color w:val="7E4F6F"/>
        </w:rPr>
        <w:lastRenderedPageBreak/>
        <w:t>LABORALES – PREVISIONALES</w:t>
      </w:r>
    </w:p>
    <w:p w:rsidR="005F022C" w:rsidRDefault="005F022C" w:rsidP="00AC7C2C">
      <w:pPr>
        <w:pStyle w:val="NormalWeb"/>
        <w:spacing w:before="0" w:beforeAutospacing="0" w:after="0" w:afterAutospacing="0"/>
        <w:jc w:val="both"/>
        <w:rPr>
          <w:rFonts w:ascii="Arial" w:hAnsi="Arial" w:cs="Arial"/>
          <w:b/>
          <w:bCs/>
          <w:caps/>
          <w:color w:val="7E4F6F"/>
          <w:sz w:val="18"/>
          <w:szCs w:val="18"/>
        </w:rPr>
      </w:pPr>
    </w:p>
    <w:p w:rsidR="005F022C" w:rsidRPr="005F022C" w:rsidRDefault="00866BC8" w:rsidP="00AC7C2C">
      <w:pPr>
        <w:pStyle w:val="NormalWeb"/>
        <w:spacing w:before="0" w:beforeAutospacing="0" w:after="0" w:afterAutospacing="0"/>
        <w:jc w:val="both"/>
        <w:rPr>
          <w:rFonts w:ascii="Arial" w:hAnsi="Arial" w:cs="Arial"/>
          <w:b/>
          <w:bCs/>
          <w:caps/>
          <w:color w:val="7E4F6F"/>
          <w:sz w:val="18"/>
          <w:szCs w:val="18"/>
        </w:rPr>
      </w:pPr>
      <w:r>
        <w:rPr>
          <w:rFonts w:ascii="Arial" w:hAnsi="Arial" w:cs="Arial"/>
          <w:b/>
          <w:bCs/>
          <w:caps/>
          <w:color w:val="7E4F6F"/>
          <w:sz w:val="18"/>
          <w:szCs w:val="18"/>
        </w:rPr>
        <w:t>LEGISLACION</w:t>
      </w:r>
    </w:p>
    <w:p w:rsidR="00AC7C2C" w:rsidRDefault="00AC7C2C" w:rsidP="00AC7C2C">
      <w:pPr>
        <w:pStyle w:val="NormalWeb"/>
        <w:spacing w:before="0" w:beforeAutospacing="0" w:after="0" w:afterAutospacing="0"/>
        <w:jc w:val="both"/>
        <w:rPr>
          <w:rFonts w:ascii="Arial" w:hAnsi="Arial" w:cs="Arial"/>
          <w:b/>
          <w:bCs/>
          <w:caps/>
          <w:color w:val="7E4F6F"/>
          <w:sz w:val="18"/>
          <w:szCs w:val="18"/>
        </w:rPr>
      </w:pPr>
    </w:p>
    <w:p w:rsidR="005F022C" w:rsidRDefault="00E678DD" w:rsidP="005F022C">
      <w:pPr>
        <w:pStyle w:val="NormalWeb"/>
        <w:spacing w:before="0" w:beforeAutospacing="0" w:after="0" w:afterAutospacing="0"/>
        <w:jc w:val="both"/>
        <w:rPr>
          <w:rFonts w:ascii="Arial" w:hAnsi="Arial" w:cs="Arial"/>
          <w:b/>
          <w:bCs/>
          <w:caps/>
          <w:color w:val="7E4F6F"/>
          <w:sz w:val="18"/>
          <w:szCs w:val="18"/>
        </w:rPr>
      </w:pPr>
      <w:r w:rsidRPr="00E678DD">
        <w:rPr>
          <w:rFonts w:ascii="Arial" w:hAnsi="Arial" w:cs="Arial"/>
          <w:b/>
          <w:bCs/>
          <w:caps/>
          <w:color w:val="7E4F6F"/>
          <w:sz w:val="18"/>
          <w:szCs w:val="18"/>
        </w:rPr>
        <w:t>Ganancias. Retención sobre sueldos</w:t>
      </w:r>
    </w:p>
    <w:p w:rsidR="00E678DD" w:rsidRDefault="00E678DD" w:rsidP="005F022C">
      <w:pPr>
        <w:pStyle w:val="NormalWeb"/>
        <w:spacing w:before="0" w:beforeAutospacing="0" w:after="0" w:afterAutospacing="0"/>
        <w:jc w:val="both"/>
        <w:rPr>
          <w:rFonts w:ascii="Arial" w:hAnsi="Arial" w:cs="Arial"/>
          <w:b/>
          <w:bCs/>
          <w:caps/>
          <w:color w:val="7E4F6F"/>
          <w:sz w:val="18"/>
          <w:szCs w:val="18"/>
        </w:rPr>
      </w:pPr>
    </w:p>
    <w:p w:rsidR="00E678DD" w:rsidRDefault="00E678DD" w:rsidP="00E678DD">
      <w:pPr>
        <w:pStyle w:val="NormalWeb"/>
        <w:spacing w:before="0" w:beforeAutospacing="0" w:after="0" w:afterAutospacing="0"/>
        <w:jc w:val="both"/>
        <w:rPr>
          <w:rFonts w:ascii="Arial" w:hAnsi="Arial" w:cs="Arial"/>
          <w:b/>
          <w:bCs/>
          <w:caps/>
          <w:color w:val="7E4F6F"/>
          <w:sz w:val="18"/>
          <w:szCs w:val="18"/>
        </w:rPr>
      </w:pPr>
      <w:r>
        <w:rPr>
          <w:rFonts w:ascii="Arial" w:hAnsi="Arial" w:cs="Arial"/>
          <w:b/>
          <w:bCs/>
          <w:caps/>
          <w:color w:val="7E4F6F"/>
          <w:sz w:val="18"/>
          <w:szCs w:val="18"/>
        </w:rPr>
        <w:t xml:space="preserve">SIRADIG. NUEVAS DEDUCCIONES </w:t>
      </w:r>
    </w:p>
    <w:p w:rsidR="00E678DD" w:rsidRDefault="00E678DD" w:rsidP="00E678DD">
      <w:pPr>
        <w:pStyle w:val="NormalWeb"/>
        <w:spacing w:before="0" w:beforeAutospacing="0" w:after="0" w:afterAutospacing="0"/>
        <w:jc w:val="both"/>
        <w:rPr>
          <w:rFonts w:ascii="Arial" w:hAnsi="Arial" w:cs="Arial"/>
          <w:b/>
          <w:bCs/>
          <w:caps/>
          <w:color w:val="7E4F6F"/>
          <w:sz w:val="18"/>
          <w:szCs w:val="18"/>
        </w:rPr>
      </w:pPr>
    </w:p>
    <w:p w:rsidR="00E678DD" w:rsidRDefault="00E678DD" w:rsidP="00E678DD">
      <w:pPr>
        <w:spacing w:line="360" w:lineRule="auto"/>
        <w:jc w:val="both"/>
        <w:rPr>
          <w:rFonts w:ascii="Arial" w:eastAsia="Times New Roman" w:hAnsi="Arial" w:cs="Arial"/>
          <w:color w:val="666666"/>
          <w:sz w:val="20"/>
          <w:szCs w:val="20"/>
        </w:rPr>
      </w:pPr>
      <w:r w:rsidRPr="00E678DD">
        <w:rPr>
          <w:rFonts w:ascii="Arial" w:eastAsia="Times New Roman" w:hAnsi="Arial" w:cs="Arial"/>
          <w:color w:val="666666"/>
          <w:sz w:val="20"/>
          <w:szCs w:val="20"/>
        </w:rPr>
        <w:lastRenderedPageBreak/>
        <w:t xml:space="preserve">La AFIP recuerda que el sistema web </w:t>
      </w:r>
      <w:proofErr w:type="spellStart"/>
      <w:r w:rsidRPr="00E678DD">
        <w:rPr>
          <w:rFonts w:ascii="Arial" w:eastAsia="Times New Roman" w:hAnsi="Arial" w:cs="Arial"/>
          <w:color w:val="666666"/>
          <w:sz w:val="20"/>
          <w:szCs w:val="20"/>
        </w:rPr>
        <w:t>SiRADIG</w:t>
      </w:r>
      <w:proofErr w:type="spellEnd"/>
      <w:r w:rsidRPr="00E678DD">
        <w:rPr>
          <w:rFonts w:ascii="Arial" w:eastAsia="Times New Roman" w:hAnsi="Arial" w:cs="Arial"/>
          <w:color w:val="666666"/>
          <w:sz w:val="20"/>
          <w:szCs w:val="20"/>
        </w:rPr>
        <w:t xml:space="preserve"> Trabajador ya se encuentra disponible con las nuevas deducciones habilitadas para el período 2018, y que los empleados podrán informarlas hasta el 31 de marzo. </w:t>
      </w:r>
    </w:p>
    <w:p w:rsidR="00E678DD" w:rsidRDefault="00E678DD" w:rsidP="00E678DD">
      <w:pPr>
        <w:spacing w:line="360" w:lineRule="auto"/>
        <w:jc w:val="both"/>
        <w:rPr>
          <w:rFonts w:ascii="Arial" w:eastAsia="Times New Roman" w:hAnsi="Arial" w:cs="Arial"/>
          <w:color w:val="666666"/>
          <w:sz w:val="20"/>
          <w:szCs w:val="20"/>
        </w:rPr>
      </w:pPr>
      <w:r w:rsidRPr="00E678DD">
        <w:rPr>
          <w:rFonts w:ascii="Arial" w:eastAsia="Times New Roman" w:hAnsi="Arial" w:cs="Arial"/>
          <w:color w:val="666666"/>
          <w:sz w:val="20"/>
          <w:szCs w:val="20"/>
        </w:rPr>
        <w:t>Estas nuevas deducciones son:</w:t>
      </w:r>
    </w:p>
    <w:p w:rsidR="00E678DD" w:rsidRDefault="00E678DD" w:rsidP="00E678DD">
      <w:pPr>
        <w:spacing w:line="360" w:lineRule="auto"/>
        <w:jc w:val="both"/>
        <w:rPr>
          <w:rFonts w:ascii="Arial" w:eastAsia="Times New Roman" w:hAnsi="Arial" w:cs="Arial"/>
          <w:color w:val="666666"/>
          <w:sz w:val="20"/>
          <w:szCs w:val="20"/>
        </w:rPr>
      </w:pPr>
      <w:r w:rsidRPr="00E678DD">
        <w:rPr>
          <w:rFonts w:ascii="Arial" w:eastAsia="Times New Roman" w:hAnsi="Arial" w:cs="Arial"/>
          <w:color w:val="666666"/>
          <w:sz w:val="20"/>
          <w:szCs w:val="20"/>
        </w:rPr>
        <w:br/>
        <w:t xml:space="preserve">• Primas que cubran el riesgo de muerte; </w:t>
      </w:r>
    </w:p>
    <w:p w:rsidR="00E678DD" w:rsidRDefault="00E678DD" w:rsidP="00E678DD">
      <w:pPr>
        <w:spacing w:line="360" w:lineRule="auto"/>
        <w:jc w:val="both"/>
        <w:rPr>
          <w:rFonts w:ascii="Arial" w:eastAsia="Times New Roman" w:hAnsi="Arial" w:cs="Arial"/>
          <w:color w:val="666666"/>
          <w:sz w:val="20"/>
          <w:szCs w:val="20"/>
        </w:rPr>
      </w:pPr>
      <w:r w:rsidRPr="00E678DD">
        <w:rPr>
          <w:rFonts w:ascii="Arial" w:eastAsia="Times New Roman" w:hAnsi="Arial" w:cs="Arial"/>
          <w:color w:val="666666"/>
          <w:sz w:val="20"/>
          <w:szCs w:val="20"/>
        </w:rPr>
        <w:t>• Primas de ahorro, correspondientes a seguros mixtos;</w:t>
      </w:r>
    </w:p>
    <w:p w:rsidR="00E678DD" w:rsidRDefault="00E678DD" w:rsidP="00E678DD">
      <w:pPr>
        <w:spacing w:line="360" w:lineRule="auto"/>
        <w:jc w:val="both"/>
        <w:rPr>
          <w:rFonts w:ascii="Arial" w:eastAsia="Times New Roman" w:hAnsi="Arial" w:cs="Arial"/>
          <w:color w:val="666666"/>
          <w:sz w:val="20"/>
          <w:szCs w:val="20"/>
        </w:rPr>
      </w:pPr>
      <w:r w:rsidRPr="00E678DD">
        <w:rPr>
          <w:rFonts w:ascii="Arial" w:eastAsia="Times New Roman" w:hAnsi="Arial" w:cs="Arial"/>
          <w:color w:val="666666"/>
          <w:sz w:val="20"/>
          <w:szCs w:val="20"/>
        </w:rPr>
        <w:t>• Aportes correspondientes a los planes de seguro de retiro privados;</w:t>
      </w:r>
    </w:p>
    <w:p w:rsidR="00E678DD" w:rsidRDefault="00E678DD" w:rsidP="00E678DD">
      <w:pPr>
        <w:spacing w:line="360" w:lineRule="auto"/>
        <w:jc w:val="both"/>
        <w:rPr>
          <w:rFonts w:ascii="Arial" w:eastAsia="Times New Roman" w:hAnsi="Arial" w:cs="Arial"/>
          <w:color w:val="666666"/>
          <w:sz w:val="20"/>
          <w:szCs w:val="20"/>
        </w:rPr>
      </w:pPr>
      <w:r w:rsidRPr="00E678DD">
        <w:rPr>
          <w:rFonts w:ascii="Arial" w:eastAsia="Times New Roman" w:hAnsi="Arial" w:cs="Arial"/>
          <w:color w:val="666666"/>
          <w:sz w:val="20"/>
          <w:szCs w:val="20"/>
        </w:rPr>
        <w:t>• Gastos por la adquisición de indumentaria y equipamiento para uso exclusivo en el lugar de trabajo.</w:t>
      </w:r>
      <w:r w:rsidRPr="00E678DD">
        <w:rPr>
          <w:rFonts w:ascii="Arial" w:eastAsia="Times New Roman" w:hAnsi="Arial" w:cs="Arial"/>
          <w:color w:val="666666"/>
          <w:sz w:val="20"/>
          <w:szCs w:val="20"/>
        </w:rPr>
        <w:br/>
        <w:t xml:space="preserve">Además, para el caso de "Pluriempleo”, en el “Detalle de Importes Mensuales” se incorporó el campo “Gastos de Movilidad y Viáticos”, para que los trabajadores informen a su agente de retención los gastos de movilidad y viáticos pagados por otros empleadores. </w:t>
      </w:r>
    </w:p>
    <w:p w:rsidR="00AC7C2C" w:rsidRDefault="00E678DD" w:rsidP="00E678DD">
      <w:pPr>
        <w:spacing w:line="360" w:lineRule="auto"/>
        <w:jc w:val="both"/>
        <w:rPr>
          <w:rFonts w:ascii="Arial" w:eastAsia="Times New Roman" w:hAnsi="Arial" w:cs="Arial"/>
          <w:color w:val="666666"/>
          <w:sz w:val="20"/>
          <w:szCs w:val="20"/>
        </w:rPr>
      </w:pPr>
      <w:r w:rsidRPr="00E678DD">
        <w:rPr>
          <w:rFonts w:ascii="Arial" w:eastAsia="Times New Roman" w:hAnsi="Arial" w:cs="Arial"/>
          <w:color w:val="666666"/>
          <w:sz w:val="20"/>
          <w:szCs w:val="20"/>
        </w:rPr>
        <w:t xml:space="preserve">Por último, el Organismo aclara que la deducción "Adquisición de </w:t>
      </w:r>
      <w:proofErr w:type="spellStart"/>
      <w:r w:rsidRPr="00E678DD">
        <w:rPr>
          <w:rFonts w:ascii="Arial" w:eastAsia="Times New Roman" w:hAnsi="Arial" w:cs="Arial"/>
          <w:color w:val="666666"/>
          <w:sz w:val="20"/>
          <w:szCs w:val="20"/>
        </w:rPr>
        <w:t>cuotapartes</w:t>
      </w:r>
      <w:proofErr w:type="spellEnd"/>
      <w:r w:rsidRPr="00E678DD">
        <w:rPr>
          <w:rFonts w:ascii="Arial" w:eastAsia="Times New Roman" w:hAnsi="Arial" w:cs="Arial"/>
          <w:color w:val="666666"/>
          <w:sz w:val="20"/>
          <w:szCs w:val="20"/>
        </w:rPr>
        <w:t xml:space="preserve"> de Fondos Comunes de Inversión con fines de retiro" no se encuentra aún operativa, a la espera de ser reglamentada por la Autoridad de Aplicación</w:t>
      </w:r>
      <w:r w:rsidR="00866BC8">
        <w:rPr>
          <w:rFonts w:ascii="Arial" w:eastAsia="Times New Roman" w:hAnsi="Arial" w:cs="Arial"/>
          <w:color w:val="666666"/>
          <w:sz w:val="20"/>
          <w:szCs w:val="20"/>
        </w:rPr>
        <w:t>.</w:t>
      </w:r>
    </w:p>
    <w:p w:rsidR="00866BC8" w:rsidRDefault="00866BC8" w:rsidP="00866BC8">
      <w:pPr>
        <w:spacing w:line="360" w:lineRule="auto"/>
        <w:jc w:val="both"/>
        <w:rPr>
          <w:rFonts w:ascii="Arial" w:eastAsia="Times New Roman" w:hAnsi="Arial" w:cs="Arial"/>
          <w:color w:val="666666"/>
          <w:sz w:val="20"/>
          <w:szCs w:val="20"/>
        </w:rPr>
      </w:pPr>
    </w:p>
    <w:p w:rsidR="00866BC8" w:rsidRDefault="00E678DD" w:rsidP="008F2D14">
      <w:pPr>
        <w:jc w:val="both"/>
        <w:rPr>
          <w:rFonts w:ascii="Arial" w:eastAsia="Times New Roman" w:hAnsi="Arial" w:cs="Arial"/>
          <w:color w:val="666666"/>
          <w:sz w:val="20"/>
          <w:szCs w:val="20"/>
        </w:rPr>
      </w:pPr>
      <w:r>
        <w:rPr>
          <w:rFonts w:ascii="Arial" w:hAnsi="Arial" w:cs="Arial"/>
          <w:b/>
          <w:bCs/>
          <w:caps/>
          <w:color w:val="7F870A"/>
          <w:sz w:val="18"/>
          <w:szCs w:val="18"/>
        </w:rPr>
        <w:t xml:space="preserve">Sociedades. Régimen de “Factura de crédito electrónica MiPyMEs”. Alcance subjetivo, cronograma y adecuaciones - </w:t>
      </w:r>
      <w:r w:rsidRPr="00E678DD">
        <w:rPr>
          <w:rFonts w:ascii="Arial" w:hAnsi="Arial" w:cs="Arial"/>
          <w:b/>
          <w:bCs/>
          <w:caps/>
          <w:color w:val="7F870A"/>
          <w:sz w:val="18"/>
          <w:szCs w:val="18"/>
        </w:rPr>
        <w:t>RESOLUCIÓN (Sec. Simplificación Productiva) 5/2019</w:t>
      </w:r>
    </w:p>
    <w:p w:rsidR="00E678DD" w:rsidRDefault="00E678DD" w:rsidP="00E678DD">
      <w:pPr>
        <w:pStyle w:val="NormalWeb"/>
        <w:spacing w:line="360" w:lineRule="auto"/>
        <w:jc w:val="both"/>
        <w:rPr>
          <w:rFonts w:ascii="Arial" w:eastAsia="Times New Roman" w:hAnsi="Arial" w:cs="Arial"/>
          <w:color w:val="666666"/>
          <w:sz w:val="20"/>
          <w:szCs w:val="20"/>
        </w:rPr>
      </w:pPr>
      <w:r w:rsidRPr="00E678DD">
        <w:rPr>
          <w:rFonts w:ascii="Arial" w:eastAsia="Times New Roman" w:hAnsi="Arial" w:cs="Arial"/>
          <w:color w:val="666666"/>
          <w:sz w:val="20"/>
          <w:szCs w:val="20"/>
        </w:rPr>
        <w:t xml:space="preserve">Se fija un cronograma para la implementación de la “Factura de crédito electrónica </w:t>
      </w:r>
      <w:proofErr w:type="spellStart"/>
      <w:r w:rsidRPr="00E678DD">
        <w:rPr>
          <w:rFonts w:ascii="Arial" w:eastAsia="Times New Roman" w:hAnsi="Arial" w:cs="Arial"/>
          <w:color w:val="666666"/>
          <w:sz w:val="20"/>
          <w:szCs w:val="20"/>
        </w:rPr>
        <w:t>MiPyMEs</w:t>
      </w:r>
      <w:proofErr w:type="spellEnd"/>
      <w:r w:rsidRPr="00E678DD">
        <w:rPr>
          <w:rFonts w:ascii="Arial" w:eastAsia="Times New Roman" w:hAnsi="Arial" w:cs="Arial"/>
          <w:color w:val="666666"/>
          <w:sz w:val="20"/>
          <w:szCs w:val="20"/>
        </w:rPr>
        <w:t>” por parte de las micro, pequeñas y medianas empresas que estén obligadas a emitir comprobantes originales a empresas grandes.</w:t>
      </w:r>
    </w:p>
    <w:p w:rsidR="00E678DD" w:rsidRDefault="00E678DD" w:rsidP="00E678DD">
      <w:pPr>
        <w:pStyle w:val="NormalWeb"/>
        <w:spacing w:line="360" w:lineRule="auto"/>
        <w:jc w:val="both"/>
        <w:rPr>
          <w:rFonts w:ascii="Arial" w:eastAsia="Times New Roman" w:hAnsi="Arial" w:cs="Arial"/>
          <w:color w:val="666666"/>
          <w:sz w:val="20"/>
          <w:szCs w:val="20"/>
        </w:rPr>
      </w:pPr>
      <w:r w:rsidRPr="00E678DD">
        <w:rPr>
          <w:rFonts w:ascii="Arial" w:eastAsia="Times New Roman" w:hAnsi="Arial" w:cs="Arial"/>
          <w:color w:val="666666"/>
          <w:sz w:val="20"/>
          <w:szCs w:val="20"/>
        </w:rPr>
        <w:t xml:space="preserve">Asimismo, se establece de manera excepcional y por el término de 1 año desde que cada sector comience a emitir la “Factura de crédito electrónica </w:t>
      </w:r>
      <w:proofErr w:type="spellStart"/>
      <w:r w:rsidRPr="00E678DD">
        <w:rPr>
          <w:rFonts w:ascii="Arial" w:eastAsia="Times New Roman" w:hAnsi="Arial" w:cs="Arial"/>
          <w:color w:val="666666"/>
          <w:sz w:val="20"/>
          <w:szCs w:val="20"/>
        </w:rPr>
        <w:t>MiPyMEs</w:t>
      </w:r>
      <w:proofErr w:type="spellEnd"/>
      <w:r w:rsidRPr="00E678DD">
        <w:rPr>
          <w:rFonts w:ascii="Arial" w:eastAsia="Times New Roman" w:hAnsi="Arial" w:cs="Arial"/>
          <w:color w:val="666666"/>
          <w:sz w:val="20"/>
          <w:szCs w:val="20"/>
        </w:rPr>
        <w:t>”, según el citado cronograma, que la misma resultará aplicable respecto de los comprobantes que se emitan por un monto total igual o superior a $ 50.000 por comprobante, sin considerar los ajustes posteriores por notas de crédito y/o débito.</w:t>
      </w:r>
    </w:p>
    <w:p w:rsidR="00E678DD" w:rsidRDefault="00E678DD" w:rsidP="00E678DD">
      <w:pPr>
        <w:pStyle w:val="NormalWeb"/>
        <w:spacing w:line="360" w:lineRule="auto"/>
        <w:jc w:val="both"/>
        <w:rPr>
          <w:rFonts w:ascii="Arial" w:eastAsia="Times New Roman" w:hAnsi="Arial" w:cs="Arial"/>
          <w:color w:val="666666"/>
          <w:sz w:val="20"/>
          <w:szCs w:val="20"/>
        </w:rPr>
      </w:pPr>
      <w:r w:rsidRPr="00E678DD">
        <w:rPr>
          <w:rFonts w:ascii="Arial" w:eastAsia="Times New Roman" w:hAnsi="Arial" w:cs="Arial"/>
          <w:color w:val="666666"/>
          <w:sz w:val="20"/>
          <w:szCs w:val="20"/>
        </w:rPr>
        <w:t>Recordamos que, hasta el 30/4/2019, el citado régimen de factura de crédito solo resultará aplicable para los sujetos que desarrollen como actividad principal la fabricación de partes, piezas y accesorios para vehículos automotores, y sus motores (CLAE 293090), respecto de las operaciones comerciales en las que deban emitir comprobantes originales a una empresa grande del sector automotriz, por un monto total igual o superior a $ 9.000.000 por comprobante.</w:t>
      </w:r>
    </w:p>
    <w:p w:rsidR="00E678DD" w:rsidRDefault="00E678DD" w:rsidP="00E678DD">
      <w:pPr>
        <w:pStyle w:val="NormalWeb"/>
        <w:spacing w:line="360" w:lineRule="auto"/>
        <w:jc w:val="both"/>
        <w:rPr>
          <w:rFonts w:ascii="Arial" w:eastAsia="Times New Roman" w:hAnsi="Arial" w:cs="Arial"/>
          <w:color w:val="666666"/>
          <w:sz w:val="20"/>
          <w:szCs w:val="20"/>
        </w:rPr>
      </w:pPr>
      <w:r w:rsidRPr="00E678DD">
        <w:rPr>
          <w:rFonts w:ascii="Arial" w:eastAsia="Times New Roman" w:hAnsi="Arial" w:cs="Arial"/>
          <w:color w:val="666666"/>
          <w:sz w:val="20"/>
          <w:szCs w:val="20"/>
        </w:rPr>
        <w:lastRenderedPageBreak/>
        <w:t xml:space="preserve">Destacamos que, transitoriamente y por el término de 1 año desde el 12/3/2019, el plazo para efectuar el rechazo de la “Factura de crédito electrónica </w:t>
      </w:r>
      <w:proofErr w:type="spellStart"/>
      <w:r w:rsidRPr="00E678DD">
        <w:rPr>
          <w:rFonts w:ascii="Arial" w:eastAsia="Times New Roman" w:hAnsi="Arial" w:cs="Arial"/>
          <w:color w:val="666666"/>
          <w:sz w:val="20"/>
          <w:szCs w:val="20"/>
        </w:rPr>
        <w:t>MiPyMEs</w:t>
      </w:r>
      <w:proofErr w:type="spellEnd"/>
      <w:r w:rsidRPr="00E678DD">
        <w:rPr>
          <w:rFonts w:ascii="Arial" w:eastAsia="Times New Roman" w:hAnsi="Arial" w:cs="Arial"/>
          <w:color w:val="666666"/>
          <w:sz w:val="20"/>
          <w:szCs w:val="20"/>
        </w:rPr>
        <w:t>” y su inscripción en el Registro correspondiente será de 30 días corridos.</w:t>
      </w:r>
    </w:p>
    <w:p w:rsidR="00866BC8" w:rsidRPr="00E678DD" w:rsidRDefault="00E678DD" w:rsidP="00E678DD">
      <w:pPr>
        <w:pStyle w:val="NormalWeb"/>
        <w:spacing w:line="360" w:lineRule="auto"/>
        <w:jc w:val="both"/>
        <w:rPr>
          <w:rFonts w:ascii="Arial" w:eastAsia="Times New Roman" w:hAnsi="Arial" w:cs="Arial"/>
          <w:color w:val="666666"/>
          <w:sz w:val="20"/>
          <w:szCs w:val="20"/>
        </w:rPr>
      </w:pPr>
      <w:r w:rsidRPr="00E678DD">
        <w:rPr>
          <w:rFonts w:ascii="Arial" w:eastAsia="Times New Roman" w:hAnsi="Arial" w:cs="Arial"/>
          <w:color w:val="666666"/>
          <w:sz w:val="20"/>
          <w:szCs w:val="20"/>
        </w:rPr>
        <w:t>Por último, señalamos que las presentes disposiciones resultan de aplicación a partir del 12/3/2019</w:t>
      </w:r>
    </w:p>
    <w:sectPr w:rsidR="00866BC8" w:rsidRPr="00E678DD" w:rsidSect="002A1585">
      <w:headerReference w:type="default" r:id="rId9"/>
      <w:footerReference w:type="default" r:id="rId10"/>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5C2" w:rsidRDefault="00F055C2" w:rsidP="00A22916">
      <w:r>
        <w:separator/>
      </w:r>
    </w:p>
  </w:endnote>
  <w:endnote w:type="continuationSeparator" w:id="0">
    <w:p w:rsidR="00F055C2" w:rsidRDefault="00F055C2"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5C2" w:rsidRDefault="00F055C2"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053748" w:rsidRPr="00053748">
        <w:rPr>
          <w:rFonts w:asciiTheme="majorHAnsi" w:hAnsiTheme="majorHAnsi"/>
          <w:noProof/>
        </w:rPr>
        <w:t>3</w:t>
      </w:r>
    </w:fldSimple>
  </w:p>
  <w:p w:rsidR="00F055C2" w:rsidRDefault="00F055C2" w:rsidP="0063669F">
    <w:pPr>
      <w:pStyle w:val="Piedepgina"/>
    </w:pPr>
  </w:p>
  <w:p w:rsidR="00F055C2" w:rsidRDefault="00F055C2" w:rsidP="0063669F">
    <w:pPr>
      <w:pStyle w:val="Piedepgina"/>
    </w:pPr>
  </w:p>
  <w:p w:rsidR="00F055C2" w:rsidRDefault="00F055C2"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5C2" w:rsidRDefault="00F055C2" w:rsidP="00A22916">
      <w:r>
        <w:separator/>
      </w:r>
    </w:p>
  </w:footnote>
  <w:footnote w:type="continuationSeparator" w:id="0">
    <w:p w:rsidR="00F055C2" w:rsidRDefault="00F055C2"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5C2" w:rsidRDefault="00F055C2" w:rsidP="0063669F">
    <w:pPr>
      <w:pStyle w:val="Ttulo"/>
      <w:tabs>
        <w:tab w:val="center" w:pos="4252"/>
      </w:tabs>
      <w:rPr>
        <w:b/>
        <w:sz w:val="40"/>
        <w:szCs w:val="40"/>
      </w:rPr>
    </w:pPr>
    <w:r>
      <w:rPr>
        <w:noProof/>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 xml:space="preserve">NEWSLETTER Nº </w:t>
    </w:r>
    <w:r w:rsidR="00866BC8">
      <w:rPr>
        <w:b/>
        <w:sz w:val="40"/>
        <w:szCs w:val="40"/>
      </w:rPr>
      <w:t>1</w:t>
    </w:r>
    <w:r w:rsidR="00E678DD">
      <w:rPr>
        <w:b/>
        <w:sz w:val="40"/>
        <w:szCs w:val="40"/>
      </w:rPr>
      <w:t>1</w:t>
    </w:r>
    <w:r>
      <w:rPr>
        <w:b/>
        <w:sz w:val="40"/>
        <w:szCs w:val="40"/>
      </w:rPr>
      <w:t>-19</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2">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8">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0"/>
  </w:num>
  <w:num w:numId="7">
    <w:abstractNumId w:val="18"/>
  </w:num>
  <w:num w:numId="8">
    <w:abstractNumId w:val="17"/>
  </w:num>
  <w:num w:numId="9">
    <w:abstractNumId w:val="11"/>
  </w:num>
  <w:num w:numId="10">
    <w:abstractNumId w:val="16"/>
  </w:num>
  <w:num w:numId="11">
    <w:abstractNumId w:val="10"/>
  </w:num>
  <w:num w:numId="12">
    <w:abstractNumId w:val="12"/>
  </w:num>
  <w:num w:numId="13">
    <w:abstractNumId w:val="13"/>
  </w:num>
  <w:num w:numId="14">
    <w:abstractNumId w:val="5"/>
  </w:num>
  <w:num w:numId="15">
    <w:abstractNumId w:val="7"/>
  </w:num>
  <w:num w:numId="16">
    <w:abstractNumId w:val="3"/>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4"/>
  </w:num>
  <w:num w:numId="20">
    <w:abstractNumId w:val="2"/>
  </w:num>
  <w:num w:numId="21">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205F"/>
    <w:rsid w:val="00006B7B"/>
    <w:rsid w:val="00010986"/>
    <w:rsid w:val="00011E32"/>
    <w:rsid w:val="000141BB"/>
    <w:rsid w:val="0001798D"/>
    <w:rsid w:val="00024857"/>
    <w:rsid w:val="00024BA0"/>
    <w:rsid w:val="0002757E"/>
    <w:rsid w:val="00027808"/>
    <w:rsid w:val="00027FB3"/>
    <w:rsid w:val="000312D1"/>
    <w:rsid w:val="00034B4E"/>
    <w:rsid w:val="000365F4"/>
    <w:rsid w:val="000458FF"/>
    <w:rsid w:val="00046CEE"/>
    <w:rsid w:val="00050F8A"/>
    <w:rsid w:val="00051387"/>
    <w:rsid w:val="00052113"/>
    <w:rsid w:val="00053748"/>
    <w:rsid w:val="00056F18"/>
    <w:rsid w:val="00062E45"/>
    <w:rsid w:val="00062FB9"/>
    <w:rsid w:val="00064195"/>
    <w:rsid w:val="00071A2E"/>
    <w:rsid w:val="00076567"/>
    <w:rsid w:val="0008176D"/>
    <w:rsid w:val="000821B3"/>
    <w:rsid w:val="0008428F"/>
    <w:rsid w:val="00084E86"/>
    <w:rsid w:val="00086651"/>
    <w:rsid w:val="00086A6F"/>
    <w:rsid w:val="00087F32"/>
    <w:rsid w:val="000902D4"/>
    <w:rsid w:val="000A444A"/>
    <w:rsid w:val="000B1065"/>
    <w:rsid w:val="000B25E4"/>
    <w:rsid w:val="000C4B1E"/>
    <w:rsid w:val="000C4F4D"/>
    <w:rsid w:val="000C519C"/>
    <w:rsid w:val="000C584E"/>
    <w:rsid w:val="000C7AD0"/>
    <w:rsid w:val="000C7BA3"/>
    <w:rsid w:val="000D39D2"/>
    <w:rsid w:val="000D70E0"/>
    <w:rsid w:val="000D70E8"/>
    <w:rsid w:val="000E0356"/>
    <w:rsid w:val="000E5944"/>
    <w:rsid w:val="000E66E0"/>
    <w:rsid w:val="000E7201"/>
    <w:rsid w:val="000F400D"/>
    <w:rsid w:val="000F62E1"/>
    <w:rsid w:val="000F64B0"/>
    <w:rsid w:val="000F6D2A"/>
    <w:rsid w:val="00105129"/>
    <w:rsid w:val="00105285"/>
    <w:rsid w:val="00106118"/>
    <w:rsid w:val="00106BEE"/>
    <w:rsid w:val="00107640"/>
    <w:rsid w:val="0011767B"/>
    <w:rsid w:val="00122901"/>
    <w:rsid w:val="0012658E"/>
    <w:rsid w:val="00126ACA"/>
    <w:rsid w:val="00134995"/>
    <w:rsid w:val="00135AA0"/>
    <w:rsid w:val="00135BCF"/>
    <w:rsid w:val="00136B14"/>
    <w:rsid w:val="00141498"/>
    <w:rsid w:val="0014698B"/>
    <w:rsid w:val="001540D5"/>
    <w:rsid w:val="00154BFA"/>
    <w:rsid w:val="0015538B"/>
    <w:rsid w:val="001560F3"/>
    <w:rsid w:val="001563E8"/>
    <w:rsid w:val="001622C1"/>
    <w:rsid w:val="00162FBF"/>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5BB4"/>
    <w:rsid w:val="0019731C"/>
    <w:rsid w:val="001A31B7"/>
    <w:rsid w:val="001A4644"/>
    <w:rsid w:val="001A5BCA"/>
    <w:rsid w:val="001B1392"/>
    <w:rsid w:val="001B1C4E"/>
    <w:rsid w:val="001B4815"/>
    <w:rsid w:val="001B4C1D"/>
    <w:rsid w:val="001C789E"/>
    <w:rsid w:val="001D0D26"/>
    <w:rsid w:val="001D2A19"/>
    <w:rsid w:val="001D3C87"/>
    <w:rsid w:val="001D4BFA"/>
    <w:rsid w:val="001D60E9"/>
    <w:rsid w:val="001E11A1"/>
    <w:rsid w:val="001E2ED1"/>
    <w:rsid w:val="001E51AC"/>
    <w:rsid w:val="001E561A"/>
    <w:rsid w:val="001E5873"/>
    <w:rsid w:val="001F32C7"/>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7B89"/>
    <w:rsid w:val="002312B9"/>
    <w:rsid w:val="00232F64"/>
    <w:rsid w:val="00233626"/>
    <w:rsid w:val="00233E5D"/>
    <w:rsid w:val="00234178"/>
    <w:rsid w:val="002350C4"/>
    <w:rsid w:val="00236C10"/>
    <w:rsid w:val="00242334"/>
    <w:rsid w:val="002462C5"/>
    <w:rsid w:val="002514CE"/>
    <w:rsid w:val="00251B56"/>
    <w:rsid w:val="002551A7"/>
    <w:rsid w:val="00257FF4"/>
    <w:rsid w:val="002623BD"/>
    <w:rsid w:val="002624C4"/>
    <w:rsid w:val="0026302D"/>
    <w:rsid w:val="002638FA"/>
    <w:rsid w:val="0026757F"/>
    <w:rsid w:val="00270353"/>
    <w:rsid w:val="00271C49"/>
    <w:rsid w:val="00273972"/>
    <w:rsid w:val="002763D5"/>
    <w:rsid w:val="002829F3"/>
    <w:rsid w:val="002858FC"/>
    <w:rsid w:val="00294E91"/>
    <w:rsid w:val="00295357"/>
    <w:rsid w:val="002961FB"/>
    <w:rsid w:val="0029636E"/>
    <w:rsid w:val="002976FD"/>
    <w:rsid w:val="00297C23"/>
    <w:rsid w:val="002A079A"/>
    <w:rsid w:val="002A1585"/>
    <w:rsid w:val="002A3419"/>
    <w:rsid w:val="002A3555"/>
    <w:rsid w:val="002B06F2"/>
    <w:rsid w:val="002B09F0"/>
    <w:rsid w:val="002B1B93"/>
    <w:rsid w:val="002B2A40"/>
    <w:rsid w:val="002B3E46"/>
    <w:rsid w:val="002B5F87"/>
    <w:rsid w:val="002C2500"/>
    <w:rsid w:val="002C3ED4"/>
    <w:rsid w:val="002C5F80"/>
    <w:rsid w:val="002D15E2"/>
    <w:rsid w:val="002D1AF7"/>
    <w:rsid w:val="002D2CE9"/>
    <w:rsid w:val="002D5824"/>
    <w:rsid w:val="002D6A6D"/>
    <w:rsid w:val="002D7BF7"/>
    <w:rsid w:val="002E3DF1"/>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53BD"/>
    <w:rsid w:val="00335A77"/>
    <w:rsid w:val="003363D2"/>
    <w:rsid w:val="003374DA"/>
    <w:rsid w:val="00354827"/>
    <w:rsid w:val="00354D8B"/>
    <w:rsid w:val="00356793"/>
    <w:rsid w:val="00356AE3"/>
    <w:rsid w:val="00363D85"/>
    <w:rsid w:val="00366324"/>
    <w:rsid w:val="003669E8"/>
    <w:rsid w:val="00371368"/>
    <w:rsid w:val="00373FA9"/>
    <w:rsid w:val="00383AD6"/>
    <w:rsid w:val="00383E0A"/>
    <w:rsid w:val="00384AD2"/>
    <w:rsid w:val="00387F1F"/>
    <w:rsid w:val="003A0047"/>
    <w:rsid w:val="003A1FE2"/>
    <w:rsid w:val="003A2813"/>
    <w:rsid w:val="003A570E"/>
    <w:rsid w:val="003A7B3C"/>
    <w:rsid w:val="003B2804"/>
    <w:rsid w:val="003B3D0A"/>
    <w:rsid w:val="003C0DB9"/>
    <w:rsid w:val="003D0EDE"/>
    <w:rsid w:val="003D1833"/>
    <w:rsid w:val="003E023C"/>
    <w:rsid w:val="003E1EB2"/>
    <w:rsid w:val="003E3086"/>
    <w:rsid w:val="003E4228"/>
    <w:rsid w:val="003E7115"/>
    <w:rsid w:val="003F0D3A"/>
    <w:rsid w:val="003F1343"/>
    <w:rsid w:val="003F71CB"/>
    <w:rsid w:val="004009D3"/>
    <w:rsid w:val="00401141"/>
    <w:rsid w:val="00405AC5"/>
    <w:rsid w:val="004106EC"/>
    <w:rsid w:val="00410B9F"/>
    <w:rsid w:val="00415ED4"/>
    <w:rsid w:val="0041650B"/>
    <w:rsid w:val="0042119B"/>
    <w:rsid w:val="00422105"/>
    <w:rsid w:val="0042261A"/>
    <w:rsid w:val="0042382F"/>
    <w:rsid w:val="00424B12"/>
    <w:rsid w:val="0042600F"/>
    <w:rsid w:val="004267D1"/>
    <w:rsid w:val="00426D05"/>
    <w:rsid w:val="00430834"/>
    <w:rsid w:val="00430CD3"/>
    <w:rsid w:val="00437F8F"/>
    <w:rsid w:val="00443CD0"/>
    <w:rsid w:val="004503E0"/>
    <w:rsid w:val="00450B7D"/>
    <w:rsid w:val="00455005"/>
    <w:rsid w:val="00455EBD"/>
    <w:rsid w:val="00456DA9"/>
    <w:rsid w:val="00462760"/>
    <w:rsid w:val="0047057E"/>
    <w:rsid w:val="0047412D"/>
    <w:rsid w:val="004760AD"/>
    <w:rsid w:val="00477975"/>
    <w:rsid w:val="00483559"/>
    <w:rsid w:val="00483F29"/>
    <w:rsid w:val="00487999"/>
    <w:rsid w:val="00487BC1"/>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C456A"/>
    <w:rsid w:val="004D1D0A"/>
    <w:rsid w:val="004D2218"/>
    <w:rsid w:val="004D3372"/>
    <w:rsid w:val="004D4BFE"/>
    <w:rsid w:val="004D5A93"/>
    <w:rsid w:val="004D7E15"/>
    <w:rsid w:val="004E007C"/>
    <w:rsid w:val="004E11B3"/>
    <w:rsid w:val="004E1502"/>
    <w:rsid w:val="004E150F"/>
    <w:rsid w:val="004E331D"/>
    <w:rsid w:val="004E35D1"/>
    <w:rsid w:val="004F08A4"/>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50055"/>
    <w:rsid w:val="00552D41"/>
    <w:rsid w:val="005533E7"/>
    <w:rsid w:val="00557631"/>
    <w:rsid w:val="005578BC"/>
    <w:rsid w:val="005616AD"/>
    <w:rsid w:val="005616C9"/>
    <w:rsid w:val="00561E9D"/>
    <w:rsid w:val="00567FFD"/>
    <w:rsid w:val="0057177B"/>
    <w:rsid w:val="0057178D"/>
    <w:rsid w:val="0058111C"/>
    <w:rsid w:val="005845EF"/>
    <w:rsid w:val="00584CAD"/>
    <w:rsid w:val="0058617A"/>
    <w:rsid w:val="00593D64"/>
    <w:rsid w:val="00596447"/>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2882"/>
    <w:rsid w:val="005E4617"/>
    <w:rsid w:val="005E50AD"/>
    <w:rsid w:val="005E579B"/>
    <w:rsid w:val="005E659B"/>
    <w:rsid w:val="005E68B6"/>
    <w:rsid w:val="005F0207"/>
    <w:rsid w:val="005F022C"/>
    <w:rsid w:val="005F3E45"/>
    <w:rsid w:val="005F5E8E"/>
    <w:rsid w:val="0060159C"/>
    <w:rsid w:val="006046DD"/>
    <w:rsid w:val="00607DE8"/>
    <w:rsid w:val="006119A5"/>
    <w:rsid w:val="006174A8"/>
    <w:rsid w:val="0061788D"/>
    <w:rsid w:val="00622351"/>
    <w:rsid w:val="006234AE"/>
    <w:rsid w:val="00626EEB"/>
    <w:rsid w:val="006270C3"/>
    <w:rsid w:val="00627493"/>
    <w:rsid w:val="006328C6"/>
    <w:rsid w:val="00632BD6"/>
    <w:rsid w:val="0063669F"/>
    <w:rsid w:val="00636D3E"/>
    <w:rsid w:val="00641570"/>
    <w:rsid w:val="00641D14"/>
    <w:rsid w:val="00641DB3"/>
    <w:rsid w:val="00643D74"/>
    <w:rsid w:val="0065294B"/>
    <w:rsid w:val="00652BED"/>
    <w:rsid w:val="00652BEF"/>
    <w:rsid w:val="00652FF3"/>
    <w:rsid w:val="00653E81"/>
    <w:rsid w:val="0065542E"/>
    <w:rsid w:val="00655BEA"/>
    <w:rsid w:val="00660E99"/>
    <w:rsid w:val="00660FFA"/>
    <w:rsid w:val="00662FE5"/>
    <w:rsid w:val="00663FB0"/>
    <w:rsid w:val="0066736A"/>
    <w:rsid w:val="00670700"/>
    <w:rsid w:val="00670FD1"/>
    <w:rsid w:val="00672643"/>
    <w:rsid w:val="00672BCC"/>
    <w:rsid w:val="00674C2E"/>
    <w:rsid w:val="0067708B"/>
    <w:rsid w:val="00680C45"/>
    <w:rsid w:val="00681204"/>
    <w:rsid w:val="00683361"/>
    <w:rsid w:val="00686E13"/>
    <w:rsid w:val="006873C7"/>
    <w:rsid w:val="00687D0D"/>
    <w:rsid w:val="0069033A"/>
    <w:rsid w:val="00690670"/>
    <w:rsid w:val="00694292"/>
    <w:rsid w:val="006A3B58"/>
    <w:rsid w:val="006A3DD1"/>
    <w:rsid w:val="006A4EDA"/>
    <w:rsid w:val="006A6823"/>
    <w:rsid w:val="006A7B3D"/>
    <w:rsid w:val="006B26A6"/>
    <w:rsid w:val="006B30E1"/>
    <w:rsid w:val="006C0099"/>
    <w:rsid w:val="006C0A51"/>
    <w:rsid w:val="006C66B7"/>
    <w:rsid w:val="006D1AF4"/>
    <w:rsid w:val="006D716F"/>
    <w:rsid w:val="006E5CD5"/>
    <w:rsid w:val="006E75AB"/>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4014A"/>
    <w:rsid w:val="00742655"/>
    <w:rsid w:val="0074517C"/>
    <w:rsid w:val="00745FFC"/>
    <w:rsid w:val="00751290"/>
    <w:rsid w:val="00752FF3"/>
    <w:rsid w:val="00753FB6"/>
    <w:rsid w:val="007556B7"/>
    <w:rsid w:val="00755A11"/>
    <w:rsid w:val="007615D5"/>
    <w:rsid w:val="007619B6"/>
    <w:rsid w:val="00762024"/>
    <w:rsid w:val="00773130"/>
    <w:rsid w:val="00773206"/>
    <w:rsid w:val="0077400C"/>
    <w:rsid w:val="00776B2D"/>
    <w:rsid w:val="00776F54"/>
    <w:rsid w:val="00781FDB"/>
    <w:rsid w:val="0078779E"/>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1CE9"/>
    <w:rsid w:val="007E23C4"/>
    <w:rsid w:val="007E5D63"/>
    <w:rsid w:val="007E7910"/>
    <w:rsid w:val="007F4195"/>
    <w:rsid w:val="00801B11"/>
    <w:rsid w:val="008035FD"/>
    <w:rsid w:val="008051D9"/>
    <w:rsid w:val="008057A5"/>
    <w:rsid w:val="00807984"/>
    <w:rsid w:val="00807F0C"/>
    <w:rsid w:val="00811BCC"/>
    <w:rsid w:val="00812E22"/>
    <w:rsid w:val="008150F3"/>
    <w:rsid w:val="00815E69"/>
    <w:rsid w:val="00816D24"/>
    <w:rsid w:val="008238D3"/>
    <w:rsid w:val="008316C9"/>
    <w:rsid w:val="008336C6"/>
    <w:rsid w:val="00836D12"/>
    <w:rsid w:val="00840BE3"/>
    <w:rsid w:val="00843537"/>
    <w:rsid w:val="00844AE1"/>
    <w:rsid w:val="0084567A"/>
    <w:rsid w:val="00845DCC"/>
    <w:rsid w:val="00846256"/>
    <w:rsid w:val="00846607"/>
    <w:rsid w:val="00850DD9"/>
    <w:rsid w:val="00856675"/>
    <w:rsid w:val="00857156"/>
    <w:rsid w:val="0086182D"/>
    <w:rsid w:val="00861F2E"/>
    <w:rsid w:val="008637DE"/>
    <w:rsid w:val="00865723"/>
    <w:rsid w:val="00865DEA"/>
    <w:rsid w:val="00866BC8"/>
    <w:rsid w:val="00872D6C"/>
    <w:rsid w:val="0087497C"/>
    <w:rsid w:val="008753DB"/>
    <w:rsid w:val="0087707A"/>
    <w:rsid w:val="0088764F"/>
    <w:rsid w:val="00894C64"/>
    <w:rsid w:val="0089551F"/>
    <w:rsid w:val="00897BE8"/>
    <w:rsid w:val="008A40E4"/>
    <w:rsid w:val="008A4816"/>
    <w:rsid w:val="008B03B5"/>
    <w:rsid w:val="008B169F"/>
    <w:rsid w:val="008B173D"/>
    <w:rsid w:val="008B48AF"/>
    <w:rsid w:val="008B4F6A"/>
    <w:rsid w:val="008B6E61"/>
    <w:rsid w:val="008C04BC"/>
    <w:rsid w:val="008C33A4"/>
    <w:rsid w:val="008C6A53"/>
    <w:rsid w:val="008C7B0A"/>
    <w:rsid w:val="008D06FE"/>
    <w:rsid w:val="008D1DA1"/>
    <w:rsid w:val="008D655B"/>
    <w:rsid w:val="008D68D6"/>
    <w:rsid w:val="008E201C"/>
    <w:rsid w:val="008E2D8B"/>
    <w:rsid w:val="008E3464"/>
    <w:rsid w:val="008E3E10"/>
    <w:rsid w:val="008E6731"/>
    <w:rsid w:val="008E7F92"/>
    <w:rsid w:val="008F2D14"/>
    <w:rsid w:val="008F3757"/>
    <w:rsid w:val="008F5DA5"/>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43E8A"/>
    <w:rsid w:val="00947871"/>
    <w:rsid w:val="00954837"/>
    <w:rsid w:val="00955F3D"/>
    <w:rsid w:val="00957658"/>
    <w:rsid w:val="009621A7"/>
    <w:rsid w:val="00962DCF"/>
    <w:rsid w:val="00963D50"/>
    <w:rsid w:val="00964163"/>
    <w:rsid w:val="0096547D"/>
    <w:rsid w:val="00970515"/>
    <w:rsid w:val="00975EA7"/>
    <w:rsid w:val="00982F05"/>
    <w:rsid w:val="00983382"/>
    <w:rsid w:val="00983817"/>
    <w:rsid w:val="00987CFA"/>
    <w:rsid w:val="0099160E"/>
    <w:rsid w:val="0099766E"/>
    <w:rsid w:val="009A5003"/>
    <w:rsid w:val="009A513D"/>
    <w:rsid w:val="009B23B8"/>
    <w:rsid w:val="009B38E7"/>
    <w:rsid w:val="009B5379"/>
    <w:rsid w:val="009B5884"/>
    <w:rsid w:val="009C1F29"/>
    <w:rsid w:val="009C49CB"/>
    <w:rsid w:val="009D2066"/>
    <w:rsid w:val="009D4CBF"/>
    <w:rsid w:val="009E4DA4"/>
    <w:rsid w:val="009E5685"/>
    <w:rsid w:val="009E70F1"/>
    <w:rsid w:val="009E764A"/>
    <w:rsid w:val="009F17A7"/>
    <w:rsid w:val="009F314C"/>
    <w:rsid w:val="009F3D84"/>
    <w:rsid w:val="009F666E"/>
    <w:rsid w:val="009F6FFB"/>
    <w:rsid w:val="00A00809"/>
    <w:rsid w:val="00A0449D"/>
    <w:rsid w:val="00A056CB"/>
    <w:rsid w:val="00A064DD"/>
    <w:rsid w:val="00A0771F"/>
    <w:rsid w:val="00A15786"/>
    <w:rsid w:val="00A15D1D"/>
    <w:rsid w:val="00A17730"/>
    <w:rsid w:val="00A20A80"/>
    <w:rsid w:val="00A22916"/>
    <w:rsid w:val="00A2454C"/>
    <w:rsid w:val="00A26B26"/>
    <w:rsid w:val="00A27C2E"/>
    <w:rsid w:val="00A31925"/>
    <w:rsid w:val="00A3209A"/>
    <w:rsid w:val="00A47D12"/>
    <w:rsid w:val="00A47E9E"/>
    <w:rsid w:val="00A502B6"/>
    <w:rsid w:val="00A51C02"/>
    <w:rsid w:val="00A52162"/>
    <w:rsid w:val="00A57ABE"/>
    <w:rsid w:val="00A635DA"/>
    <w:rsid w:val="00A66110"/>
    <w:rsid w:val="00A661EA"/>
    <w:rsid w:val="00A72227"/>
    <w:rsid w:val="00A749F3"/>
    <w:rsid w:val="00A74FEA"/>
    <w:rsid w:val="00A77575"/>
    <w:rsid w:val="00A804ED"/>
    <w:rsid w:val="00A8074D"/>
    <w:rsid w:val="00A82393"/>
    <w:rsid w:val="00A82BE4"/>
    <w:rsid w:val="00A82D8B"/>
    <w:rsid w:val="00A911A8"/>
    <w:rsid w:val="00A91B2D"/>
    <w:rsid w:val="00A9401F"/>
    <w:rsid w:val="00A94DF6"/>
    <w:rsid w:val="00AA0C38"/>
    <w:rsid w:val="00AA2436"/>
    <w:rsid w:val="00AA2AB5"/>
    <w:rsid w:val="00AA5FC8"/>
    <w:rsid w:val="00AB18C4"/>
    <w:rsid w:val="00AB3C8F"/>
    <w:rsid w:val="00AB4BDE"/>
    <w:rsid w:val="00AB7BC2"/>
    <w:rsid w:val="00AC08D6"/>
    <w:rsid w:val="00AC0D04"/>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9BB"/>
    <w:rsid w:val="00B07D75"/>
    <w:rsid w:val="00B07F40"/>
    <w:rsid w:val="00B10CB9"/>
    <w:rsid w:val="00B14FC6"/>
    <w:rsid w:val="00B1515A"/>
    <w:rsid w:val="00B15BDB"/>
    <w:rsid w:val="00B208A3"/>
    <w:rsid w:val="00B219F4"/>
    <w:rsid w:val="00B22B01"/>
    <w:rsid w:val="00B25289"/>
    <w:rsid w:val="00B26B41"/>
    <w:rsid w:val="00B32C00"/>
    <w:rsid w:val="00B3341B"/>
    <w:rsid w:val="00B336F4"/>
    <w:rsid w:val="00B37753"/>
    <w:rsid w:val="00B436EB"/>
    <w:rsid w:val="00B44ED8"/>
    <w:rsid w:val="00B46298"/>
    <w:rsid w:val="00B462DB"/>
    <w:rsid w:val="00B5082D"/>
    <w:rsid w:val="00B515D9"/>
    <w:rsid w:val="00B53C7F"/>
    <w:rsid w:val="00B5534A"/>
    <w:rsid w:val="00B557A9"/>
    <w:rsid w:val="00B57BDD"/>
    <w:rsid w:val="00B60288"/>
    <w:rsid w:val="00B64DBB"/>
    <w:rsid w:val="00B6745A"/>
    <w:rsid w:val="00B702F9"/>
    <w:rsid w:val="00B82568"/>
    <w:rsid w:val="00B82ADA"/>
    <w:rsid w:val="00B84234"/>
    <w:rsid w:val="00B85427"/>
    <w:rsid w:val="00B855EE"/>
    <w:rsid w:val="00B934E8"/>
    <w:rsid w:val="00B94B6E"/>
    <w:rsid w:val="00B953EC"/>
    <w:rsid w:val="00B96CB8"/>
    <w:rsid w:val="00B97778"/>
    <w:rsid w:val="00BA05B3"/>
    <w:rsid w:val="00BA07E6"/>
    <w:rsid w:val="00BA09E5"/>
    <w:rsid w:val="00BA28AC"/>
    <w:rsid w:val="00BA299E"/>
    <w:rsid w:val="00BA5970"/>
    <w:rsid w:val="00BA5A0E"/>
    <w:rsid w:val="00BA5C7F"/>
    <w:rsid w:val="00BA6BFC"/>
    <w:rsid w:val="00BB520F"/>
    <w:rsid w:val="00BB7EF7"/>
    <w:rsid w:val="00BC0A33"/>
    <w:rsid w:val="00BC7080"/>
    <w:rsid w:val="00BD5ED2"/>
    <w:rsid w:val="00BE0165"/>
    <w:rsid w:val="00BE0B9D"/>
    <w:rsid w:val="00BE10B6"/>
    <w:rsid w:val="00BE2060"/>
    <w:rsid w:val="00BE441B"/>
    <w:rsid w:val="00BE47F6"/>
    <w:rsid w:val="00BE66E1"/>
    <w:rsid w:val="00BE772C"/>
    <w:rsid w:val="00BF09C9"/>
    <w:rsid w:val="00BF0F9B"/>
    <w:rsid w:val="00BF13D1"/>
    <w:rsid w:val="00C00515"/>
    <w:rsid w:val="00C02686"/>
    <w:rsid w:val="00C030FE"/>
    <w:rsid w:val="00C05C8D"/>
    <w:rsid w:val="00C05DA8"/>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FE"/>
    <w:rsid w:val="00C57E96"/>
    <w:rsid w:val="00C61E97"/>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3790"/>
    <w:rsid w:val="00CD442C"/>
    <w:rsid w:val="00CD45C5"/>
    <w:rsid w:val="00CD52FD"/>
    <w:rsid w:val="00CD6068"/>
    <w:rsid w:val="00CD63D5"/>
    <w:rsid w:val="00CD7025"/>
    <w:rsid w:val="00CE050C"/>
    <w:rsid w:val="00CE0F03"/>
    <w:rsid w:val="00CE1B5C"/>
    <w:rsid w:val="00CE2963"/>
    <w:rsid w:val="00CE478D"/>
    <w:rsid w:val="00CE6FC5"/>
    <w:rsid w:val="00CF02BA"/>
    <w:rsid w:val="00D00832"/>
    <w:rsid w:val="00D02745"/>
    <w:rsid w:val="00D03A65"/>
    <w:rsid w:val="00D05E65"/>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733D"/>
    <w:rsid w:val="00D95910"/>
    <w:rsid w:val="00DA4170"/>
    <w:rsid w:val="00DB374E"/>
    <w:rsid w:val="00DB3E82"/>
    <w:rsid w:val="00DB4EAF"/>
    <w:rsid w:val="00DB5C26"/>
    <w:rsid w:val="00DB660E"/>
    <w:rsid w:val="00DC01EF"/>
    <w:rsid w:val="00DC11B0"/>
    <w:rsid w:val="00DC197E"/>
    <w:rsid w:val="00DC3958"/>
    <w:rsid w:val="00DC5162"/>
    <w:rsid w:val="00DC67E6"/>
    <w:rsid w:val="00DD4EB3"/>
    <w:rsid w:val="00DD71F0"/>
    <w:rsid w:val="00DE0214"/>
    <w:rsid w:val="00DE7EA5"/>
    <w:rsid w:val="00DF159C"/>
    <w:rsid w:val="00DF2655"/>
    <w:rsid w:val="00DF286B"/>
    <w:rsid w:val="00DF3632"/>
    <w:rsid w:val="00DF3BFD"/>
    <w:rsid w:val="00DF43B0"/>
    <w:rsid w:val="00DF662A"/>
    <w:rsid w:val="00DF66C1"/>
    <w:rsid w:val="00E0059D"/>
    <w:rsid w:val="00E03156"/>
    <w:rsid w:val="00E044A2"/>
    <w:rsid w:val="00E06FBB"/>
    <w:rsid w:val="00E1206D"/>
    <w:rsid w:val="00E120E9"/>
    <w:rsid w:val="00E13645"/>
    <w:rsid w:val="00E14B07"/>
    <w:rsid w:val="00E208A5"/>
    <w:rsid w:val="00E20E7A"/>
    <w:rsid w:val="00E20E89"/>
    <w:rsid w:val="00E26C42"/>
    <w:rsid w:val="00E27D8A"/>
    <w:rsid w:val="00E35D3D"/>
    <w:rsid w:val="00E40D9C"/>
    <w:rsid w:val="00E42CF2"/>
    <w:rsid w:val="00E50433"/>
    <w:rsid w:val="00E52026"/>
    <w:rsid w:val="00E5555E"/>
    <w:rsid w:val="00E576B6"/>
    <w:rsid w:val="00E57F81"/>
    <w:rsid w:val="00E61074"/>
    <w:rsid w:val="00E661C4"/>
    <w:rsid w:val="00E66BAC"/>
    <w:rsid w:val="00E678DD"/>
    <w:rsid w:val="00E700E6"/>
    <w:rsid w:val="00E711B8"/>
    <w:rsid w:val="00E76F6B"/>
    <w:rsid w:val="00E77486"/>
    <w:rsid w:val="00E80ADB"/>
    <w:rsid w:val="00E810A9"/>
    <w:rsid w:val="00E825AE"/>
    <w:rsid w:val="00E86B90"/>
    <w:rsid w:val="00E90354"/>
    <w:rsid w:val="00E9066D"/>
    <w:rsid w:val="00E932D3"/>
    <w:rsid w:val="00EA16AC"/>
    <w:rsid w:val="00EA2446"/>
    <w:rsid w:val="00EA482E"/>
    <w:rsid w:val="00EA6378"/>
    <w:rsid w:val="00EA770C"/>
    <w:rsid w:val="00EB4775"/>
    <w:rsid w:val="00EB53F9"/>
    <w:rsid w:val="00EB5F3E"/>
    <w:rsid w:val="00ED189B"/>
    <w:rsid w:val="00ED4588"/>
    <w:rsid w:val="00ED4841"/>
    <w:rsid w:val="00ED64C2"/>
    <w:rsid w:val="00EE2967"/>
    <w:rsid w:val="00EE5513"/>
    <w:rsid w:val="00EE618C"/>
    <w:rsid w:val="00EE7AB9"/>
    <w:rsid w:val="00EF21F4"/>
    <w:rsid w:val="00EF436D"/>
    <w:rsid w:val="00EF4ABA"/>
    <w:rsid w:val="00EF5EA1"/>
    <w:rsid w:val="00F055C2"/>
    <w:rsid w:val="00F11F29"/>
    <w:rsid w:val="00F12F88"/>
    <w:rsid w:val="00F12FB3"/>
    <w:rsid w:val="00F23613"/>
    <w:rsid w:val="00F23F4D"/>
    <w:rsid w:val="00F25F0A"/>
    <w:rsid w:val="00F32315"/>
    <w:rsid w:val="00F35073"/>
    <w:rsid w:val="00F41DC3"/>
    <w:rsid w:val="00F420A8"/>
    <w:rsid w:val="00F42668"/>
    <w:rsid w:val="00F478EC"/>
    <w:rsid w:val="00F53620"/>
    <w:rsid w:val="00F542F5"/>
    <w:rsid w:val="00F54A5E"/>
    <w:rsid w:val="00F55D28"/>
    <w:rsid w:val="00F56404"/>
    <w:rsid w:val="00F64307"/>
    <w:rsid w:val="00F643AE"/>
    <w:rsid w:val="00F6464B"/>
    <w:rsid w:val="00F65B24"/>
    <w:rsid w:val="00F73827"/>
    <w:rsid w:val="00F7492C"/>
    <w:rsid w:val="00F74E58"/>
    <w:rsid w:val="00F76356"/>
    <w:rsid w:val="00F7664B"/>
    <w:rsid w:val="00F76B6D"/>
    <w:rsid w:val="00F772E0"/>
    <w:rsid w:val="00F81BC7"/>
    <w:rsid w:val="00F8276D"/>
    <w:rsid w:val="00F84874"/>
    <w:rsid w:val="00F84B85"/>
    <w:rsid w:val="00F900D5"/>
    <w:rsid w:val="00F9073B"/>
    <w:rsid w:val="00F9099C"/>
    <w:rsid w:val="00F93AE9"/>
    <w:rsid w:val="00F9787F"/>
    <w:rsid w:val="00FA4C5F"/>
    <w:rsid w:val="00FA5CB6"/>
    <w:rsid w:val="00FA6554"/>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59D1"/>
    <w:rsid w:val="00FD73A0"/>
    <w:rsid w:val="00FD769B"/>
    <w:rsid w:val="00FE169F"/>
    <w:rsid w:val="00FF042B"/>
    <w:rsid w:val="00FF0F12"/>
    <w:rsid w:val="00FF2CCF"/>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osario.gob.ar/normativa/verArchivo?tipo=pdf&amp;id=1385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F6F26A-5166-47EA-A031-A8328714E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1262</Words>
  <Characters>6945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Admin</cp:lastModifiedBy>
  <cp:revision>5</cp:revision>
  <dcterms:created xsi:type="dcterms:W3CDTF">2019-03-15T20:43:00Z</dcterms:created>
  <dcterms:modified xsi:type="dcterms:W3CDTF">2019-03-15T20:52:00Z</dcterms:modified>
</cp:coreProperties>
</file>